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0ED" w:rsidRDefault="004E30ED">
      <w:pPr>
        <w:spacing w:line="594" w:lineRule="exact"/>
        <w:jc w:val="center"/>
        <w:rPr>
          <w:rFonts w:eastAsia="方正小标宋简体" w:cs="方正小标宋简体" w:hint="eastAsia"/>
          <w:bCs/>
          <w:color w:val="000000"/>
          <w:kern w:val="0"/>
          <w:sz w:val="36"/>
          <w:szCs w:val="36"/>
        </w:rPr>
      </w:pPr>
      <w:bookmarkStart w:id="0" w:name="fldWJNR2"/>
    </w:p>
    <w:p w:rsidR="00D25184" w:rsidRDefault="00A71A99">
      <w:pPr>
        <w:spacing w:line="594" w:lineRule="exact"/>
        <w:jc w:val="center"/>
        <w:rPr>
          <w:rFonts w:eastAsia="方正小标宋简体" w:cs="方正小标宋简体"/>
          <w:bCs/>
          <w:color w:val="000000"/>
          <w:kern w:val="0"/>
          <w:sz w:val="36"/>
          <w:szCs w:val="36"/>
        </w:rPr>
      </w:pPr>
      <w:r>
        <w:rPr>
          <w:rFonts w:eastAsia="方正小标宋简体" w:cs="方正小标宋简体" w:hint="eastAsia"/>
          <w:bCs/>
          <w:color w:val="000000"/>
          <w:kern w:val="0"/>
          <w:sz w:val="36"/>
          <w:szCs w:val="36"/>
        </w:rPr>
        <w:t>企业登记前置审批事项目录</w:t>
      </w:r>
    </w:p>
    <w:p w:rsidR="00D25184" w:rsidRDefault="00A71A99">
      <w:pPr>
        <w:spacing w:line="594" w:lineRule="exact"/>
        <w:jc w:val="center"/>
        <w:rPr>
          <w:rFonts w:ascii="楷体_GB2312" w:eastAsia="楷体_GB2312" w:hAnsi="楷体_GB2312" w:cs="楷体_GB2312"/>
          <w:bCs/>
          <w:color w:val="000000"/>
          <w:kern w:val="0"/>
          <w:sz w:val="44"/>
          <w:szCs w:val="44"/>
        </w:rPr>
      </w:pPr>
      <w:r>
        <w:rPr>
          <w:rFonts w:ascii="楷体_GB2312" w:eastAsia="楷体_GB2312" w:hAnsi="楷体_GB2312" w:cs="楷体_GB2312" w:hint="eastAsia"/>
          <w:bCs/>
          <w:color w:val="000000"/>
          <w:kern w:val="0"/>
          <w:sz w:val="36"/>
          <w:szCs w:val="36"/>
        </w:rPr>
        <w:t>（</w:t>
      </w:r>
      <w:r>
        <w:rPr>
          <w:rFonts w:ascii="楷体_GB2312" w:eastAsia="楷体_GB2312" w:hAnsi="楷体_GB2312" w:cs="楷体_GB2312" w:hint="eastAsia"/>
          <w:sz w:val="32"/>
        </w:rPr>
        <w:t>2021年</w:t>
      </w:r>
      <w:r>
        <w:rPr>
          <w:rFonts w:ascii="楷体_GB2312" w:eastAsia="楷体_GB2312" w:hAnsi="楷体_GB2312" w:cs="楷体_GB2312" w:hint="eastAsia"/>
          <w:bCs/>
          <w:color w:val="000000"/>
          <w:kern w:val="0"/>
          <w:sz w:val="36"/>
          <w:szCs w:val="36"/>
        </w:rPr>
        <w:t>）</w:t>
      </w:r>
    </w:p>
    <w:p w:rsidR="00D25184" w:rsidRDefault="00D25184">
      <w:pPr>
        <w:spacing w:line="300" w:lineRule="exact"/>
        <w:jc w:val="center"/>
        <w:rPr>
          <w:rFonts w:eastAsia="方正小标宋简体" w:cs="方正小标宋简体"/>
          <w:bCs/>
          <w:color w:val="000000"/>
          <w:kern w:val="0"/>
          <w:sz w:val="44"/>
          <w:szCs w:val="44"/>
        </w:rPr>
      </w:pPr>
    </w:p>
    <w:tbl>
      <w:tblPr>
        <w:tblW w:w="9712" w:type="dxa"/>
        <w:jc w:val="center"/>
        <w:tblInd w:w="-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4A0"/>
      </w:tblPr>
      <w:tblGrid>
        <w:gridCol w:w="484"/>
        <w:gridCol w:w="3255"/>
        <w:gridCol w:w="1920"/>
        <w:gridCol w:w="4053"/>
      </w:tblGrid>
      <w:tr w:rsidR="00D25184">
        <w:trPr>
          <w:trHeight w:val="323"/>
          <w:tblHeader/>
          <w:jc w:val="center"/>
        </w:trPr>
        <w:tc>
          <w:tcPr>
            <w:tcW w:w="484" w:type="dxa"/>
            <w:vAlign w:val="center"/>
          </w:tcPr>
          <w:p w:rsidR="00D25184" w:rsidRDefault="00A71A99">
            <w:pPr>
              <w:pStyle w:val="New"/>
              <w:adjustRightInd w:val="0"/>
              <w:snapToGrid w:val="0"/>
              <w:spacing w:line="360" w:lineRule="exact"/>
              <w:jc w:val="center"/>
              <w:rPr>
                <w:rFonts w:eastAsia="黑体" w:cs="黑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eastAsia="黑体" w:cs="黑体" w:hint="eastAsia"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3255" w:type="dxa"/>
            <w:vAlign w:val="center"/>
          </w:tcPr>
          <w:p w:rsidR="00D25184" w:rsidRDefault="00A71A99">
            <w:pPr>
              <w:pStyle w:val="New"/>
              <w:adjustRightInd w:val="0"/>
              <w:snapToGrid w:val="0"/>
              <w:spacing w:line="340" w:lineRule="exact"/>
              <w:jc w:val="center"/>
              <w:rPr>
                <w:rFonts w:eastAsia="黑体" w:cs="黑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eastAsia="黑体" w:cs="黑体" w:hint="eastAsia"/>
                <w:bCs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920" w:type="dxa"/>
            <w:vAlign w:val="center"/>
          </w:tcPr>
          <w:p w:rsidR="00D25184" w:rsidRDefault="00A71A99">
            <w:pPr>
              <w:pStyle w:val="New"/>
              <w:adjustRightInd w:val="0"/>
              <w:snapToGrid w:val="0"/>
              <w:spacing w:line="340" w:lineRule="exact"/>
              <w:jc w:val="center"/>
              <w:rPr>
                <w:rFonts w:eastAsia="黑体" w:cs="黑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eastAsia="黑体" w:cs="黑体" w:hint="eastAsia"/>
                <w:bCs/>
                <w:color w:val="000000"/>
                <w:kern w:val="0"/>
                <w:sz w:val="20"/>
                <w:szCs w:val="20"/>
              </w:rPr>
              <w:t>实施部门</w:t>
            </w:r>
          </w:p>
        </w:tc>
        <w:tc>
          <w:tcPr>
            <w:tcW w:w="4053" w:type="dxa"/>
            <w:vAlign w:val="center"/>
          </w:tcPr>
          <w:p w:rsidR="00D25184" w:rsidRDefault="00A71A99">
            <w:pPr>
              <w:pStyle w:val="New"/>
              <w:adjustRightInd w:val="0"/>
              <w:snapToGrid w:val="0"/>
              <w:spacing w:line="340" w:lineRule="exact"/>
              <w:jc w:val="center"/>
              <w:rPr>
                <w:rFonts w:eastAsia="黑体" w:cs="黑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eastAsia="黑体" w:cs="黑体" w:hint="eastAsia"/>
                <w:bCs/>
                <w:color w:val="000000"/>
                <w:kern w:val="0"/>
                <w:sz w:val="20"/>
                <w:szCs w:val="20"/>
              </w:rPr>
              <w:t>设定依据</w:t>
            </w:r>
          </w:p>
        </w:tc>
      </w:tr>
      <w:tr w:rsidR="00D25184">
        <w:trPr>
          <w:trHeight w:val="90"/>
          <w:jc w:val="center"/>
        </w:trPr>
        <w:tc>
          <w:tcPr>
            <w:tcW w:w="484" w:type="dxa"/>
            <w:vAlign w:val="center"/>
          </w:tcPr>
          <w:p w:rsidR="00D25184" w:rsidRDefault="00A71A99">
            <w:pPr>
              <w:spacing w:line="36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255" w:type="dxa"/>
            <w:vAlign w:val="center"/>
          </w:tcPr>
          <w:p w:rsidR="00D25184" w:rsidRDefault="00A71A99">
            <w:pPr>
              <w:adjustRightInd w:val="0"/>
              <w:snapToGrid w:val="0"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证券公司设立审批</w:t>
            </w:r>
          </w:p>
        </w:tc>
        <w:tc>
          <w:tcPr>
            <w:tcW w:w="1920" w:type="dxa"/>
            <w:vAlign w:val="center"/>
          </w:tcPr>
          <w:p w:rsidR="00D25184" w:rsidRDefault="00A71A99">
            <w:pPr>
              <w:adjustRightInd w:val="0"/>
              <w:snapToGrid w:val="0"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中国证券监督管理委员会</w:t>
            </w:r>
          </w:p>
        </w:tc>
        <w:tc>
          <w:tcPr>
            <w:tcW w:w="4053" w:type="dxa"/>
            <w:vAlign w:val="center"/>
          </w:tcPr>
          <w:p w:rsidR="00D25184" w:rsidRDefault="00A71A99">
            <w:pPr>
              <w:adjustRightInd w:val="0"/>
              <w:snapToGrid w:val="0"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《中华人民共和国证券法》</w:t>
            </w:r>
          </w:p>
        </w:tc>
      </w:tr>
      <w:tr w:rsidR="00D25184">
        <w:trPr>
          <w:trHeight w:val="743"/>
          <w:jc w:val="center"/>
        </w:trPr>
        <w:tc>
          <w:tcPr>
            <w:tcW w:w="484" w:type="dxa"/>
            <w:vAlign w:val="center"/>
          </w:tcPr>
          <w:p w:rsidR="00D25184" w:rsidRDefault="00A71A99">
            <w:pPr>
              <w:spacing w:line="36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255" w:type="dxa"/>
            <w:vAlign w:val="center"/>
          </w:tcPr>
          <w:p w:rsidR="00D25184" w:rsidRDefault="00A71A99">
            <w:pPr>
              <w:adjustRightInd w:val="0"/>
              <w:snapToGrid w:val="0"/>
              <w:spacing w:line="340" w:lineRule="exact"/>
              <w:jc w:val="center"/>
              <w:rPr>
                <w:rFonts w:eastAsia="仿宋_GB2312" w:cs="仿宋_GB2312"/>
                <w:color w:val="00000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sz w:val="20"/>
                <w:szCs w:val="20"/>
              </w:rPr>
              <w:t>烟草专卖生产企业许可证核发</w:t>
            </w:r>
          </w:p>
        </w:tc>
        <w:tc>
          <w:tcPr>
            <w:tcW w:w="1920" w:type="dxa"/>
            <w:vAlign w:val="center"/>
          </w:tcPr>
          <w:p w:rsidR="00D25184" w:rsidRDefault="00A71A99">
            <w:pPr>
              <w:adjustRightInd w:val="0"/>
              <w:snapToGrid w:val="0"/>
              <w:spacing w:line="340" w:lineRule="exact"/>
              <w:jc w:val="center"/>
              <w:rPr>
                <w:rFonts w:eastAsia="仿宋_GB2312" w:cs="仿宋_GB2312"/>
                <w:color w:val="00000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sz w:val="20"/>
                <w:szCs w:val="20"/>
              </w:rPr>
              <w:t>国家烟草专卖局</w:t>
            </w:r>
          </w:p>
        </w:tc>
        <w:tc>
          <w:tcPr>
            <w:tcW w:w="4053" w:type="dxa"/>
            <w:vAlign w:val="center"/>
          </w:tcPr>
          <w:p w:rsidR="00D25184" w:rsidRDefault="00A71A99">
            <w:pPr>
              <w:adjustRightInd w:val="0"/>
              <w:snapToGrid w:val="0"/>
              <w:spacing w:line="340" w:lineRule="exact"/>
              <w:jc w:val="center"/>
              <w:rPr>
                <w:rFonts w:eastAsia="仿宋_GB2312" w:cs="仿宋_GB2312"/>
                <w:color w:val="00000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sz w:val="20"/>
                <w:szCs w:val="20"/>
              </w:rPr>
              <w:t>《中华人民共和国烟草专卖法》</w:t>
            </w:r>
          </w:p>
          <w:p w:rsidR="00D25184" w:rsidRDefault="00A71A99">
            <w:pPr>
              <w:adjustRightInd w:val="0"/>
              <w:snapToGrid w:val="0"/>
              <w:spacing w:line="340" w:lineRule="exact"/>
              <w:jc w:val="center"/>
              <w:rPr>
                <w:rFonts w:eastAsia="仿宋_GB2312" w:cs="仿宋_GB2312"/>
                <w:color w:val="00000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sz w:val="20"/>
                <w:szCs w:val="20"/>
              </w:rPr>
              <w:t>《中华人民共和国烟草专卖法实施条例》</w:t>
            </w:r>
          </w:p>
        </w:tc>
      </w:tr>
      <w:tr w:rsidR="00D25184">
        <w:trPr>
          <w:trHeight w:val="90"/>
          <w:jc w:val="center"/>
        </w:trPr>
        <w:tc>
          <w:tcPr>
            <w:tcW w:w="484" w:type="dxa"/>
            <w:vAlign w:val="center"/>
          </w:tcPr>
          <w:p w:rsidR="00D25184" w:rsidRDefault="00D25184">
            <w:pPr>
              <w:spacing w:line="36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</w:p>
          <w:p w:rsidR="00D25184" w:rsidRDefault="00A71A99">
            <w:pPr>
              <w:spacing w:line="360" w:lineRule="exact"/>
              <w:jc w:val="center"/>
              <w:rPr>
                <w:rFonts w:eastAsia="仿宋_GB2312" w:cs="仿宋_GB2312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3</w:t>
            </w:r>
          </w:p>
          <w:p w:rsidR="00D25184" w:rsidRDefault="00D25184">
            <w:pPr>
              <w:spacing w:line="360" w:lineRule="exact"/>
              <w:rPr>
                <w:rFonts w:eastAsia="仿宋_GB2312" w:cs="仿宋_GB2312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5" w:type="dxa"/>
            <w:vAlign w:val="center"/>
          </w:tcPr>
          <w:p w:rsidR="00D25184" w:rsidRDefault="00A71A99">
            <w:pPr>
              <w:adjustRightInd w:val="0"/>
              <w:snapToGrid w:val="0"/>
              <w:spacing w:line="340" w:lineRule="exact"/>
              <w:jc w:val="center"/>
              <w:rPr>
                <w:rFonts w:eastAsia="仿宋_GB2312" w:cs="仿宋_GB2312"/>
                <w:color w:val="00000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sz w:val="20"/>
                <w:szCs w:val="20"/>
              </w:rPr>
              <w:t>烟草专卖批发企业许可证核发</w:t>
            </w:r>
          </w:p>
        </w:tc>
        <w:tc>
          <w:tcPr>
            <w:tcW w:w="1920" w:type="dxa"/>
            <w:vAlign w:val="center"/>
          </w:tcPr>
          <w:p w:rsidR="00D25184" w:rsidRDefault="00A71A99">
            <w:pPr>
              <w:adjustRightInd w:val="0"/>
              <w:snapToGrid w:val="0"/>
              <w:spacing w:line="340" w:lineRule="exact"/>
              <w:jc w:val="center"/>
              <w:rPr>
                <w:rFonts w:eastAsia="仿宋_GB2312" w:cs="仿宋_GB2312"/>
                <w:color w:val="00000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sz w:val="20"/>
                <w:szCs w:val="20"/>
              </w:rPr>
              <w:t>国家烟草专卖局或省级烟草专卖行政主管部门</w:t>
            </w:r>
          </w:p>
        </w:tc>
        <w:tc>
          <w:tcPr>
            <w:tcW w:w="4053" w:type="dxa"/>
            <w:vAlign w:val="center"/>
          </w:tcPr>
          <w:p w:rsidR="00D25184" w:rsidRDefault="00A71A99">
            <w:pPr>
              <w:adjustRightInd w:val="0"/>
              <w:snapToGrid w:val="0"/>
              <w:spacing w:line="340" w:lineRule="exact"/>
              <w:jc w:val="center"/>
              <w:rPr>
                <w:rFonts w:eastAsia="仿宋_GB2312" w:cs="仿宋_GB2312"/>
                <w:color w:val="00000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sz w:val="20"/>
                <w:szCs w:val="20"/>
              </w:rPr>
              <w:t>《中华人民共和国烟草专卖法》</w:t>
            </w:r>
          </w:p>
          <w:p w:rsidR="00D25184" w:rsidRDefault="00A71A99">
            <w:pPr>
              <w:adjustRightInd w:val="0"/>
              <w:snapToGrid w:val="0"/>
              <w:spacing w:line="340" w:lineRule="exact"/>
              <w:jc w:val="center"/>
              <w:rPr>
                <w:rFonts w:eastAsia="仿宋_GB2312" w:cs="仿宋_GB2312"/>
                <w:color w:val="00000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sz w:val="20"/>
                <w:szCs w:val="20"/>
              </w:rPr>
              <w:t>《中华人民共和国烟草专卖法实施条例》</w:t>
            </w:r>
          </w:p>
        </w:tc>
      </w:tr>
      <w:tr w:rsidR="00D25184">
        <w:trPr>
          <w:trHeight w:val="1500"/>
          <w:jc w:val="center"/>
        </w:trPr>
        <w:tc>
          <w:tcPr>
            <w:tcW w:w="484" w:type="dxa"/>
            <w:vAlign w:val="center"/>
          </w:tcPr>
          <w:p w:rsidR="00D25184" w:rsidRDefault="00A71A99">
            <w:pPr>
              <w:widowControl/>
              <w:spacing w:line="36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255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营利性民办学校</w:t>
            </w:r>
          </w:p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（营利性民办培训机构）办学许可</w:t>
            </w:r>
          </w:p>
        </w:tc>
        <w:tc>
          <w:tcPr>
            <w:tcW w:w="1920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县级以上人民政府教育行政部门、县级以上人民政府人力资源社会保障部门</w:t>
            </w:r>
          </w:p>
        </w:tc>
        <w:tc>
          <w:tcPr>
            <w:tcW w:w="4053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《中华人民共和国民办教育促进法》</w:t>
            </w:r>
          </w:p>
        </w:tc>
      </w:tr>
      <w:tr w:rsidR="00D25184">
        <w:trPr>
          <w:trHeight w:val="1177"/>
          <w:jc w:val="center"/>
        </w:trPr>
        <w:tc>
          <w:tcPr>
            <w:tcW w:w="484" w:type="dxa"/>
            <w:vAlign w:val="center"/>
          </w:tcPr>
          <w:p w:rsidR="00D25184" w:rsidRDefault="00A71A99">
            <w:pPr>
              <w:widowControl/>
              <w:spacing w:line="36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255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金融控股公司设立审批</w:t>
            </w:r>
          </w:p>
        </w:tc>
        <w:tc>
          <w:tcPr>
            <w:tcW w:w="1920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中国人民银行</w:t>
            </w:r>
          </w:p>
        </w:tc>
        <w:tc>
          <w:tcPr>
            <w:tcW w:w="4053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《国务院关于实施金融控股公司准入管理的决定》（国发〔</w:t>
            </w: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2020</w:t>
            </w: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〕</w:t>
            </w: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12</w:t>
            </w: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号）</w:t>
            </w:r>
          </w:p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《金融控股公司监督管理试行办法》</w:t>
            </w:r>
          </w:p>
        </w:tc>
      </w:tr>
      <w:tr w:rsidR="00D25184">
        <w:trPr>
          <w:trHeight w:val="484"/>
          <w:jc w:val="center"/>
        </w:trPr>
        <w:tc>
          <w:tcPr>
            <w:tcW w:w="484" w:type="dxa"/>
            <w:vAlign w:val="center"/>
          </w:tcPr>
          <w:p w:rsidR="00D25184" w:rsidRDefault="00A71A99">
            <w:pPr>
              <w:widowControl/>
              <w:spacing w:line="36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3255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民用爆炸物品生产许可</w:t>
            </w:r>
          </w:p>
        </w:tc>
        <w:tc>
          <w:tcPr>
            <w:tcW w:w="1920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中华人民共和国工业和信息化部</w:t>
            </w:r>
          </w:p>
        </w:tc>
        <w:tc>
          <w:tcPr>
            <w:tcW w:w="4053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《民用爆炸物品安全管理条例》</w:t>
            </w:r>
          </w:p>
        </w:tc>
      </w:tr>
      <w:tr w:rsidR="00D25184">
        <w:trPr>
          <w:trHeight w:val="484"/>
          <w:jc w:val="center"/>
        </w:trPr>
        <w:tc>
          <w:tcPr>
            <w:tcW w:w="484" w:type="dxa"/>
            <w:vAlign w:val="center"/>
          </w:tcPr>
          <w:p w:rsidR="00D25184" w:rsidRDefault="00A71A99">
            <w:pPr>
              <w:widowControl/>
              <w:spacing w:line="36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3255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爆破作业单位许可证核发</w:t>
            </w:r>
          </w:p>
        </w:tc>
        <w:tc>
          <w:tcPr>
            <w:tcW w:w="1920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省级、设区的市级人民政府公安部门</w:t>
            </w:r>
          </w:p>
        </w:tc>
        <w:tc>
          <w:tcPr>
            <w:tcW w:w="4053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《民用爆炸物品安全管理条例》</w:t>
            </w:r>
          </w:p>
        </w:tc>
      </w:tr>
      <w:tr w:rsidR="00D25184">
        <w:trPr>
          <w:trHeight w:val="484"/>
          <w:jc w:val="center"/>
        </w:trPr>
        <w:tc>
          <w:tcPr>
            <w:tcW w:w="484" w:type="dxa"/>
            <w:vAlign w:val="center"/>
          </w:tcPr>
          <w:p w:rsidR="00D25184" w:rsidRDefault="00A71A99">
            <w:pPr>
              <w:widowControl/>
              <w:spacing w:line="36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3255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民用枪支（弹药）制造、配售许可</w:t>
            </w:r>
          </w:p>
        </w:tc>
        <w:tc>
          <w:tcPr>
            <w:tcW w:w="1920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中华人民共和国公安部、省级人民政府公安部门</w:t>
            </w:r>
          </w:p>
        </w:tc>
        <w:tc>
          <w:tcPr>
            <w:tcW w:w="4053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《中华人民共和国枪支管理法》</w:t>
            </w:r>
          </w:p>
        </w:tc>
      </w:tr>
      <w:tr w:rsidR="00D25184">
        <w:trPr>
          <w:trHeight w:val="1480"/>
          <w:jc w:val="center"/>
        </w:trPr>
        <w:tc>
          <w:tcPr>
            <w:tcW w:w="484" w:type="dxa"/>
            <w:vAlign w:val="center"/>
          </w:tcPr>
          <w:p w:rsidR="00D25184" w:rsidRDefault="00A71A99">
            <w:pPr>
              <w:widowControl/>
              <w:spacing w:line="36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3255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制造、销售弩或营业性射击场开设</w:t>
            </w:r>
          </w:p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弩</w:t>
            </w:r>
            <w:proofErr w:type="gramStart"/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射项目</w:t>
            </w:r>
            <w:proofErr w:type="gramEnd"/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审批</w:t>
            </w:r>
          </w:p>
        </w:tc>
        <w:tc>
          <w:tcPr>
            <w:tcW w:w="1920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省级人民政府公安部门</w:t>
            </w:r>
          </w:p>
        </w:tc>
        <w:tc>
          <w:tcPr>
            <w:tcW w:w="4053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《国务院对确需保留的行政审批项目设定行政许可的决定》（国务院令第</w:t>
            </w: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412</w:t>
            </w: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号）</w:t>
            </w:r>
          </w:p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《公安部国家工商行政管理局关于加强弩管理的通知》（公治〔</w:t>
            </w: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1999</w:t>
            </w: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〕</w:t>
            </w: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1646</w:t>
            </w: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号）</w:t>
            </w:r>
          </w:p>
        </w:tc>
      </w:tr>
      <w:tr w:rsidR="00D25184">
        <w:trPr>
          <w:trHeight w:val="484"/>
          <w:jc w:val="center"/>
        </w:trPr>
        <w:tc>
          <w:tcPr>
            <w:tcW w:w="484" w:type="dxa"/>
            <w:vAlign w:val="center"/>
          </w:tcPr>
          <w:p w:rsidR="00D25184" w:rsidRDefault="00A71A99">
            <w:pPr>
              <w:widowControl/>
              <w:spacing w:line="36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3255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保安服务许可证核发</w:t>
            </w:r>
          </w:p>
        </w:tc>
        <w:tc>
          <w:tcPr>
            <w:tcW w:w="1920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省级人民政府公安部门</w:t>
            </w:r>
          </w:p>
        </w:tc>
        <w:tc>
          <w:tcPr>
            <w:tcW w:w="4053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《保安服务管理条例》</w:t>
            </w:r>
          </w:p>
        </w:tc>
      </w:tr>
      <w:tr w:rsidR="00D25184">
        <w:trPr>
          <w:trHeight w:val="484"/>
          <w:jc w:val="center"/>
        </w:trPr>
        <w:tc>
          <w:tcPr>
            <w:tcW w:w="484" w:type="dxa"/>
            <w:vAlign w:val="center"/>
          </w:tcPr>
          <w:p w:rsidR="00D25184" w:rsidRDefault="00A71A99">
            <w:pPr>
              <w:widowControl/>
              <w:spacing w:line="36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3255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设立经营个人征信业务的征信机构</w:t>
            </w: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lastRenderedPageBreak/>
              <w:t>审批</w:t>
            </w:r>
          </w:p>
        </w:tc>
        <w:tc>
          <w:tcPr>
            <w:tcW w:w="1920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lastRenderedPageBreak/>
              <w:t>中国人民银行</w:t>
            </w:r>
          </w:p>
        </w:tc>
        <w:tc>
          <w:tcPr>
            <w:tcW w:w="4053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《征信业管理条例》</w:t>
            </w:r>
          </w:p>
        </w:tc>
      </w:tr>
      <w:tr w:rsidR="00D25184">
        <w:trPr>
          <w:trHeight w:val="1070"/>
          <w:jc w:val="center"/>
        </w:trPr>
        <w:tc>
          <w:tcPr>
            <w:tcW w:w="484" w:type="dxa"/>
            <w:vAlign w:val="center"/>
          </w:tcPr>
          <w:p w:rsidR="00D25184" w:rsidRDefault="00A71A99">
            <w:pPr>
              <w:widowControl/>
              <w:spacing w:line="36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lastRenderedPageBreak/>
              <w:t>12</w:t>
            </w:r>
          </w:p>
        </w:tc>
        <w:tc>
          <w:tcPr>
            <w:tcW w:w="3255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卫星电视广播地面接收设施安装</w:t>
            </w:r>
          </w:p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许可审批</w:t>
            </w:r>
          </w:p>
        </w:tc>
        <w:tc>
          <w:tcPr>
            <w:tcW w:w="1920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国家广播电视总局</w:t>
            </w:r>
          </w:p>
        </w:tc>
        <w:tc>
          <w:tcPr>
            <w:tcW w:w="4053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《卫星电视广播地面接收设施管理规定》</w:t>
            </w:r>
          </w:p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《关于进一步加强卫星电视广播地面接收设施管理的意见》（广发外字〔</w:t>
            </w: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2002</w:t>
            </w: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〕</w:t>
            </w: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254</w:t>
            </w: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号）</w:t>
            </w:r>
          </w:p>
        </w:tc>
      </w:tr>
      <w:tr w:rsidR="00D25184">
        <w:trPr>
          <w:trHeight w:val="484"/>
          <w:jc w:val="center"/>
        </w:trPr>
        <w:tc>
          <w:tcPr>
            <w:tcW w:w="484" w:type="dxa"/>
            <w:vAlign w:val="center"/>
          </w:tcPr>
          <w:p w:rsidR="00D25184" w:rsidRDefault="00A71A99">
            <w:pPr>
              <w:widowControl/>
              <w:spacing w:line="36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3255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设立出版物进口经营单位审批</w:t>
            </w:r>
          </w:p>
        </w:tc>
        <w:tc>
          <w:tcPr>
            <w:tcW w:w="1920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国家新闻出版署</w:t>
            </w:r>
          </w:p>
        </w:tc>
        <w:tc>
          <w:tcPr>
            <w:tcW w:w="4053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《出版管理条例》</w:t>
            </w:r>
          </w:p>
        </w:tc>
      </w:tr>
      <w:tr w:rsidR="00D25184">
        <w:trPr>
          <w:trHeight w:val="484"/>
          <w:jc w:val="center"/>
        </w:trPr>
        <w:tc>
          <w:tcPr>
            <w:tcW w:w="484" w:type="dxa"/>
            <w:vAlign w:val="center"/>
          </w:tcPr>
          <w:p w:rsidR="00D25184" w:rsidRDefault="00A71A99">
            <w:pPr>
              <w:widowControl/>
              <w:spacing w:line="36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3255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设立出版单位审批</w:t>
            </w:r>
          </w:p>
        </w:tc>
        <w:tc>
          <w:tcPr>
            <w:tcW w:w="1920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国家新闻出版署</w:t>
            </w:r>
          </w:p>
        </w:tc>
        <w:tc>
          <w:tcPr>
            <w:tcW w:w="4053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《出版管理条例》</w:t>
            </w:r>
          </w:p>
        </w:tc>
      </w:tr>
      <w:tr w:rsidR="00D25184">
        <w:trPr>
          <w:trHeight w:val="1100"/>
          <w:jc w:val="center"/>
        </w:trPr>
        <w:tc>
          <w:tcPr>
            <w:tcW w:w="484" w:type="dxa"/>
            <w:vAlign w:val="center"/>
          </w:tcPr>
          <w:p w:rsidR="00D25184" w:rsidRDefault="00A71A99">
            <w:pPr>
              <w:widowControl/>
              <w:spacing w:line="36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3255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境外出版机构在境内设立办事机构审批</w:t>
            </w:r>
          </w:p>
        </w:tc>
        <w:tc>
          <w:tcPr>
            <w:tcW w:w="1920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国家新闻出版署</w:t>
            </w:r>
          </w:p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国务院新闻办</w:t>
            </w:r>
          </w:p>
        </w:tc>
        <w:tc>
          <w:tcPr>
            <w:tcW w:w="4053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《国务院对确需保留的行政审批项目设定行政许可的决定》（国务院令第</w:t>
            </w: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412</w:t>
            </w: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号）</w:t>
            </w:r>
          </w:p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《外国企业常驻代表机构登记管理条例》</w:t>
            </w:r>
          </w:p>
        </w:tc>
      </w:tr>
      <w:tr w:rsidR="00D25184">
        <w:trPr>
          <w:trHeight w:val="1055"/>
          <w:jc w:val="center"/>
        </w:trPr>
        <w:tc>
          <w:tcPr>
            <w:tcW w:w="484" w:type="dxa"/>
            <w:vAlign w:val="center"/>
          </w:tcPr>
          <w:p w:rsidR="00D25184" w:rsidRDefault="00A71A99">
            <w:pPr>
              <w:widowControl/>
              <w:spacing w:line="36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3255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境外电影机构在华设立办事机构</w:t>
            </w:r>
          </w:p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审批</w:t>
            </w:r>
          </w:p>
        </w:tc>
        <w:tc>
          <w:tcPr>
            <w:tcW w:w="1920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国家电影局</w:t>
            </w:r>
          </w:p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国务院新闻办</w:t>
            </w:r>
          </w:p>
        </w:tc>
        <w:tc>
          <w:tcPr>
            <w:tcW w:w="4053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《国务院对确需保留的行政审批项目设定行政许可的决定》（国务院令第</w:t>
            </w: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412</w:t>
            </w: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号）</w:t>
            </w:r>
          </w:p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《外国企业常驻代表机构登记管理条例》</w:t>
            </w:r>
          </w:p>
        </w:tc>
      </w:tr>
      <w:tr w:rsidR="00D25184">
        <w:trPr>
          <w:trHeight w:val="1055"/>
          <w:jc w:val="center"/>
        </w:trPr>
        <w:tc>
          <w:tcPr>
            <w:tcW w:w="484" w:type="dxa"/>
            <w:vAlign w:val="center"/>
          </w:tcPr>
          <w:p w:rsidR="00D25184" w:rsidRDefault="00A71A99">
            <w:pPr>
              <w:widowControl/>
              <w:spacing w:line="36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3255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境外广播电视机构在华设立办事机构审批</w:t>
            </w:r>
          </w:p>
        </w:tc>
        <w:tc>
          <w:tcPr>
            <w:tcW w:w="1920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国家广播电视总局</w:t>
            </w:r>
          </w:p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国务院新闻办</w:t>
            </w:r>
          </w:p>
        </w:tc>
        <w:tc>
          <w:tcPr>
            <w:tcW w:w="4053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《国务院对确需保留的行政审批项目设定行政许可的决定》（国务院令第</w:t>
            </w: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412</w:t>
            </w: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号）</w:t>
            </w:r>
          </w:p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《外国企业常驻代表机构登记管理条例》</w:t>
            </w:r>
          </w:p>
        </w:tc>
      </w:tr>
      <w:tr w:rsidR="00D25184">
        <w:trPr>
          <w:trHeight w:val="484"/>
          <w:jc w:val="center"/>
        </w:trPr>
        <w:tc>
          <w:tcPr>
            <w:tcW w:w="484" w:type="dxa"/>
            <w:vAlign w:val="center"/>
          </w:tcPr>
          <w:p w:rsidR="00D25184" w:rsidRDefault="00A71A99">
            <w:pPr>
              <w:widowControl/>
              <w:spacing w:line="36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3255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危险化学品经营许可</w:t>
            </w:r>
          </w:p>
        </w:tc>
        <w:tc>
          <w:tcPr>
            <w:tcW w:w="1920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县级、设区的市级人民政府应急管理</w:t>
            </w:r>
          </w:p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部门</w:t>
            </w:r>
          </w:p>
        </w:tc>
        <w:tc>
          <w:tcPr>
            <w:tcW w:w="4053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《危险化学品安全管理条例》</w:t>
            </w:r>
          </w:p>
        </w:tc>
      </w:tr>
      <w:tr w:rsidR="00D25184">
        <w:trPr>
          <w:trHeight w:val="484"/>
          <w:jc w:val="center"/>
        </w:trPr>
        <w:tc>
          <w:tcPr>
            <w:tcW w:w="484" w:type="dxa"/>
            <w:vAlign w:val="center"/>
          </w:tcPr>
          <w:p w:rsidR="00D25184" w:rsidRDefault="00A71A99">
            <w:pPr>
              <w:widowControl/>
              <w:spacing w:line="36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3255" w:type="dxa"/>
            <w:vAlign w:val="center"/>
          </w:tcPr>
          <w:p w:rsidR="00D25184" w:rsidRDefault="00A71A99">
            <w:pPr>
              <w:widowControl/>
              <w:spacing w:line="340" w:lineRule="exact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新建、改建、扩建生产、储存危险化学品（包括使用长输管道输送危险化学品）建设项目安全条件审查；新建、改建、扩建储存、装卸危险化学品的港口建设项目安全条件审查</w:t>
            </w:r>
          </w:p>
        </w:tc>
        <w:tc>
          <w:tcPr>
            <w:tcW w:w="1920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设区的市级以上人民政府应急管理部门；港口行政管理</w:t>
            </w:r>
          </w:p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部门</w:t>
            </w:r>
          </w:p>
        </w:tc>
        <w:tc>
          <w:tcPr>
            <w:tcW w:w="4053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《危险化学品安全管理条例》</w:t>
            </w:r>
          </w:p>
        </w:tc>
      </w:tr>
      <w:tr w:rsidR="00D25184">
        <w:trPr>
          <w:trHeight w:val="715"/>
          <w:jc w:val="center"/>
        </w:trPr>
        <w:tc>
          <w:tcPr>
            <w:tcW w:w="484" w:type="dxa"/>
            <w:vAlign w:val="center"/>
          </w:tcPr>
          <w:p w:rsidR="00D25184" w:rsidRDefault="00A71A99">
            <w:pPr>
              <w:widowControl/>
              <w:spacing w:line="36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3255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烟花爆竹生产企业安全生产许可</w:t>
            </w:r>
          </w:p>
        </w:tc>
        <w:tc>
          <w:tcPr>
            <w:tcW w:w="1920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省级人民政府应急管理部门</w:t>
            </w:r>
          </w:p>
        </w:tc>
        <w:tc>
          <w:tcPr>
            <w:tcW w:w="4053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《烟花爆竹安全管理条例》</w:t>
            </w:r>
          </w:p>
        </w:tc>
      </w:tr>
      <w:tr w:rsidR="00D25184">
        <w:trPr>
          <w:trHeight w:val="484"/>
          <w:jc w:val="center"/>
        </w:trPr>
        <w:tc>
          <w:tcPr>
            <w:tcW w:w="484" w:type="dxa"/>
            <w:vAlign w:val="center"/>
          </w:tcPr>
          <w:p w:rsidR="00D25184" w:rsidRDefault="00A71A99">
            <w:pPr>
              <w:widowControl/>
              <w:spacing w:line="36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3255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外资银行营业性机构及其分支机构设立审批</w:t>
            </w:r>
          </w:p>
        </w:tc>
        <w:tc>
          <w:tcPr>
            <w:tcW w:w="1920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中国银行保险监督管理委员会</w:t>
            </w:r>
          </w:p>
        </w:tc>
        <w:tc>
          <w:tcPr>
            <w:tcW w:w="4053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《中华人民共和国银行业监督管理法》</w:t>
            </w:r>
          </w:p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《中华人民共和国外资银行管理条例》</w:t>
            </w:r>
          </w:p>
        </w:tc>
      </w:tr>
      <w:tr w:rsidR="00D25184">
        <w:trPr>
          <w:trHeight w:val="1085"/>
          <w:jc w:val="center"/>
        </w:trPr>
        <w:tc>
          <w:tcPr>
            <w:tcW w:w="484" w:type="dxa"/>
            <w:vAlign w:val="center"/>
          </w:tcPr>
          <w:p w:rsidR="00D25184" w:rsidRDefault="00A71A99">
            <w:pPr>
              <w:widowControl/>
              <w:spacing w:line="36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3255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外国银行代表处设立审批</w:t>
            </w:r>
          </w:p>
        </w:tc>
        <w:tc>
          <w:tcPr>
            <w:tcW w:w="1920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中国银行保险监督管理委员会</w:t>
            </w:r>
          </w:p>
        </w:tc>
        <w:tc>
          <w:tcPr>
            <w:tcW w:w="4053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《中华人民共和国银行业监督管理法》</w:t>
            </w:r>
          </w:p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《中华人民共和国外资银行管理条例》</w:t>
            </w:r>
          </w:p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《外国企业常驻代表机构登记管理条例》</w:t>
            </w:r>
          </w:p>
        </w:tc>
      </w:tr>
      <w:tr w:rsidR="00D25184">
        <w:trPr>
          <w:trHeight w:val="700"/>
          <w:jc w:val="center"/>
        </w:trPr>
        <w:tc>
          <w:tcPr>
            <w:tcW w:w="484" w:type="dxa"/>
            <w:vAlign w:val="center"/>
          </w:tcPr>
          <w:p w:rsidR="00D25184" w:rsidRDefault="00A71A99">
            <w:pPr>
              <w:widowControl/>
              <w:spacing w:line="36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3255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中资银行业金融机构及其分支机构设立审批</w:t>
            </w:r>
          </w:p>
        </w:tc>
        <w:tc>
          <w:tcPr>
            <w:tcW w:w="1920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中国银行保险监督管理委员会</w:t>
            </w:r>
          </w:p>
        </w:tc>
        <w:tc>
          <w:tcPr>
            <w:tcW w:w="4053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《中华人民共和国银行业监督管理法》</w:t>
            </w:r>
          </w:p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《中华人民共和国商业银行法》</w:t>
            </w:r>
          </w:p>
        </w:tc>
      </w:tr>
      <w:tr w:rsidR="00D25184">
        <w:trPr>
          <w:trHeight w:val="715"/>
          <w:jc w:val="center"/>
        </w:trPr>
        <w:tc>
          <w:tcPr>
            <w:tcW w:w="484" w:type="dxa"/>
            <w:vAlign w:val="center"/>
          </w:tcPr>
          <w:p w:rsidR="00D25184" w:rsidRDefault="00A71A99">
            <w:pPr>
              <w:widowControl/>
              <w:spacing w:line="36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lastRenderedPageBreak/>
              <w:t>24</w:t>
            </w:r>
          </w:p>
        </w:tc>
        <w:tc>
          <w:tcPr>
            <w:tcW w:w="3255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非银行金融机构（分支机构）设立</w:t>
            </w:r>
          </w:p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审批</w:t>
            </w:r>
          </w:p>
        </w:tc>
        <w:tc>
          <w:tcPr>
            <w:tcW w:w="1920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中国银行保险监督管理委员会</w:t>
            </w:r>
          </w:p>
        </w:tc>
        <w:tc>
          <w:tcPr>
            <w:tcW w:w="4053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《中华人民共和国银行业监督管理法》</w:t>
            </w:r>
          </w:p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《金融资产管理公司条例》</w:t>
            </w:r>
          </w:p>
        </w:tc>
      </w:tr>
      <w:tr w:rsidR="00D25184">
        <w:trPr>
          <w:trHeight w:val="484"/>
          <w:jc w:val="center"/>
        </w:trPr>
        <w:tc>
          <w:tcPr>
            <w:tcW w:w="484" w:type="dxa"/>
            <w:vAlign w:val="center"/>
          </w:tcPr>
          <w:p w:rsidR="00D25184" w:rsidRDefault="00A71A99">
            <w:pPr>
              <w:widowControl/>
              <w:spacing w:line="36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3255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融资担保公司设立审批</w:t>
            </w:r>
          </w:p>
        </w:tc>
        <w:tc>
          <w:tcPr>
            <w:tcW w:w="1920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省级人民政府确定的部门</w:t>
            </w:r>
          </w:p>
        </w:tc>
        <w:tc>
          <w:tcPr>
            <w:tcW w:w="4053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《国务院对确需保留的行政审批项目设定行政许可的决定》（国务院令第</w:t>
            </w: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412</w:t>
            </w: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号）</w:t>
            </w:r>
          </w:p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《国务院关于修改〈国务院对确需保留的行政审批项目设定行政许可的决定〉的决定》（国务院令第</w:t>
            </w: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548</w:t>
            </w: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号）</w:t>
            </w:r>
          </w:p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《融资担保公司监督管理条例》</w:t>
            </w:r>
          </w:p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《融资性担保公司管理暂行办法》（银监会令</w:t>
            </w: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2010</w:t>
            </w: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年第</w:t>
            </w: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号）</w:t>
            </w:r>
          </w:p>
        </w:tc>
      </w:tr>
      <w:tr w:rsidR="00D25184">
        <w:trPr>
          <w:trHeight w:val="1363"/>
          <w:jc w:val="center"/>
        </w:trPr>
        <w:tc>
          <w:tcPr>
            <w:tcW w:w="484" w:type="dxa"/>
            <w:vAlign w:val="center"/>
          </w:tcPr>
          <w:p w:rsidR="00D25184" w:rsidRDefault="00A71A99">
            <w:pPr>
              <w:widowControl/>
              <w:spacing w:line="36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3255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外国证券类机构设立驻华代表机构核准</w:t>
            </w:r>
          </w:p>
        </w:tc>
        <w:tc>
          <w:tcPr>
            <w:tcW w:w="1920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中国证券监督管理委员会</w:t>
            </w:r>
          </w:p>
        </w:tc>
        <w:tc>
          <w:tcPr>
            <w:tcW w:w="4053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《国务院对确需保留的行政审批项目设定行政许可的决定》（国务院令第</w:t>
            </w: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412</w:t>
            </w: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号）</w:t>
            </w:r>
          </w:p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《外国企业常驻代表机构登记管理条例》</w:t>
            </w:r>
          </w:p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《证券公司监督管理条例》</w:t>
            </w:r>
          </w:p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《国务院关于管理外国企业常驻代表机构的暂行规定》（国发〔</w:t>
            </w: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1980</w:t>
            </w: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〕</w:t>
            </w: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272</w:t>
            </w: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号）</w:t>
            </w:r>
          </w:p>
        </w:tc>
      </w:tr>
      <w:tr w:rsidR="00D25184">
        <w:trPr>
          <w:trHeight w:val="484"/>
          <w:jc w:val="center"/>
        </w:trPr>
        <w:tc>
          <w:tcPr>
            <w:tcW w:w="484" w:type="dxa"/>
            <w:vAlign w:val="center"/>
          </w:tcPr>
          <w:p w:rsidR="00D25184" w:rsidRDefault="00A71A99">
            <w:pPr>
              <w:widowControl/>
              <w:spacing w:line="36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3255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设立期货专门结算机构审批</w:t>
            </w:r>
          </w:p>
        </w:tc>
        <w:tc>
          <w:tcPr>
            <w:tcW w:w="1920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中国证券监督管理委员会</w:t>
            </w:r>
          </w:p>
        </w:tc>
        <w:tc>
          <w:tcPr>
            <w:tcW w:w="4053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《期货交易管理条例》（国务院令第</w:t>
            </w: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627</w:t>
            </w: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号）</w:t>
            </w:r>
          </w:p>
        </w:tc>
      </w:tr>
      <w:tr w:rsidR="00D25184">
        <w:trPr>
          <w:trHeight w:val="484"/>
          <w:jc w:val="center"/>
        </w:trPr>
        <w:tc>
          <w:tcPr>
            <w:tcW w:w="484" w:type="dxa"/>
            <w:vAlign w:val="center"/>
          </w:tcPr>
          <w:p w:rsidR="00D25184" w:rsidRDefault="00A71A99">
            <w:pPr>
              <w:widowControl/>
              <w:spacing w:line="36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3255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设立期货交易场所审批</w:t>
            </w:r>
          </w:p>
        </w:tc>
        <w:tc>
          <w:tcPr>
            <w:tcW w:w="1920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国务院或中国证券监督管理委员会</w:t>
            </w:r>
          </w:p>
        </w:tc>
        <w:tc>
          <w:tcPr>
            <w:tcW w:w="4053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《期货交易管理条例》（国务院令第</w:t>
            </w: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627</w:t>
            </w: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号）</w:t>
            </w:r>
          </w:p>
        </w:tc>
      </w:tr>
      <w:tr w:rsidR="00D25184">
        <w:trPr>
          <w:trHeight w:val="484"/>
          <w:jc w:val="center"/>
        </w:trPr>
        <w:tc>
          <w:tcPr>
            <w:tcW w:w="484" w:type="dxa"/>
            <w:vAlign w:val="center"/>
          </w:tcPr>
          <w:p w:rsidR="00D25184" w:rsidRDefault="00A71A99">
            <w:pPr>
              <w:widowControl/>
              <w:spacing w:line="36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3255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证券交易所设立审核、证券登记结算机构设立审批</w:t>
            </w:r>
          </w:p>
        </w:tc>
        <w:tc>
          <w:tcPr>
            <w:tcW w:w="1920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国务院、中国证券监督管理委员会</w:t>
            </w:r>
          </w:p>
        </w:tc>
        <w:tc>
          <w:tcPr>
            <w:tcW w:w="4053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《中华人民共和国证券法》</w:t>
            </w:r>
          </w:p>
        </w:tc>
      </w:tr>
      <w:tr w:rsidR="00D25184">
        <w:trPr>
          <w:trHeight w:val="992"/>
          <w:jc w:val="center"/>
        </w:trPr>
        <w:tc>
          <w:tcPr>
            <w:tcW w:w="484" w:type="dxa"/>
            <w:vAlign w:val="center"/>
          </w:tcPr>
          <w:p w:rsidR="00D25184" w:rsidRDefault="00A71A99">
            <w:pPr>
              <w:widowControl/>
              <w:spacing w:line="36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3255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专属自保组织和相互保险组织设立审批</w:t>
            </w:r>
          </w:p>
        </w:tc>
        <w:tc>
          <w:tcPr>
            <w:tcW w:w="1920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中国银行保险监督管理委员会</w:t>
            </w:r>
          </w:p>
        </w:tc>
        <w:tc>
          <w:tcPr>
            <w:tcW w:w="4053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《国务院对确需保留的行政审批项目设定行政许可的决定》（国务院令第</w:t>
            </w: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412</w:t>
            </w: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号）</w:t>
            </w:r>
          </w:p>
        </w:tc>
      </w:tr>
      <w:tr w:rsidR="00D25184">
        <w:trPr>
          <w:trHeight w:val="484"/>
          <w:jc w:val="center"/>
        </w:trPr>
        <w:tc>
          <w:tcPr>
            <w:tcW w:w="484" w:type="dxa"/>
            <w:vAlign w:val="center"/>
          </w:tcPr>
          <w:p w:rsidR="00D25184" w:rsidRDefault="00A71A99">
            <w:pPr>
              <w:widowControl/>
              <w:spacing w:line="36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31</w:t>
            </w:r>
          </w:p>
        </w:tc>
        <w:tc>
          <w:tcPr>
            <w:tcW w:w="3255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保险公司及其分支机构设立审批</w:t>
            </w:r>
          </w:p>
        </w:tc>
        <w:tc>
          <w:tcPr>
            <w:tcW w:w="1920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中国银行保险监督管理委员会</w:t>
            </w:r>
          </w:p>
        </w:tc>
        <w:tc>
          <w:tcPr>
            <w:tcW w:w="4053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《中华人民共和国保险法》</w:t>
            </w:r>
          </w:p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《中华人民共和国外资保险公司管理条例》</w:t>
            </w:r>
          </w:p>
        </w:tc>
      </w:tr>
      <w:tr w:rsidR="00D25184">
        <w:trPr>
          <w:trHeight w:val="1473"/>
          <w:jc w:val="center"/>
        </w:trPr>
        <w:tc>
          <w:tcPr>
            <w:tcW w:w="484" w:type="dxa"/>
            <w:vAlign w:val="center"/>
          </w:tcPr>
          <w:p w:rsidR="00D25184" w:rsidRDefault="00A71A99">
            <w:pPr>
              <w:widowControl/>
              <w:spacing w:line="36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3255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外国保险机构驻华代表机构设立</w:t>
            </w:r>
          </w:p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审批</w:t>
            </w:r>
          </w:p>
        </w:tc>
        <w:tc>
          <w:tcPr>
            <w:tcW w:w="1920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中国银行保险监督管理委员会</w:t>
            </w:r>
          </w:p>
        </w:tc>
        <w:tc>
          <w:tcPr>
            <w:tcW w:w="4053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《中华人民共和国保险法》</w:t>
            </w:r>
          </w:p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《国务院对确需保留的行政审批项目设定行政许可的决定》（国务院令第</w:t>
            </w: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412</w:t>
            </w: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号）</w:t>
            </w:r>
          </w:p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《外国企业常驻代表机构登记管理条例》</w:t>
            </w:r>
          </w:p>
        </w:tc>
      </w:tr>
      <w:tr w:rsidR="00D25184">
        <w:trPr>
          <w:trHeight w:val="630"/>
          <w:jc w:val="center"/>
        </w:trPr>
        <w:tc>
          <w:tcPr>
            <w:tcW w:w="484" w:type="dxa"/>
            <w:vAlign w:val="center"/>
          </w:tcPr>
          <w:p w:rsidR="00D25184" w:rsidRDefault="00A71A99">
            <w:pPr>
              <w:widowControl/>
              <w:spacing w:line="36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33</w:t>
            </w:r>
          </w:p>
        </w:tc>
        <w:tc>
          <w:tcPr>
            <w:tcW w:w="3255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快递业务经营许可</w:t>
            </w:r>
          </w:p>
        </w:tc>
        <w:tc>
          <w:tcPr>
            <w:tcW w:w="1920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国家邮政局或省级邮政管理机构</w:t>
            </w:r>
          </w:p>
        </w:tc>
        <w:tc>
          <w:tcPr>
            <w:tcW w:w="4053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4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《中华人民共和国邮政法》</w:t>
            </w:r>
          </w:p>
        </w:tc>
      </w:tr>
      <w:tr w:rsidR="00D25184">
        <w:trPr>
          <w:trHeight w:val="630"/>
          <w:jc w:val="center"/>
        </w:trPr>
        <w:tc>
          <w:tcPr>
            <w:tcW w:w="484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34</w:t>
            </w:r>
          </w:p>
        </w:tc>
        <w:tc>
          <w:tcPr>
            <w:tcW w:w="3255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经营劳务派遣业务许可</w:t>
            </w:r>
          </w:p>
        </w:tc>
        <w:tc>
          <w:tcPr>
            <w:tcW w:w="1920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省、市、县级人民政府人力资源社会保障部门</w:t>
            </w:r>
          </w:p>
        </w:tc>
        <w:tc>
          <w:tcPr>
            <w:tcW w:w="4053" w:type="dxa"/>
            <w:vAlign w:val="center"/>
          </w:tcPr>
          <w:p w:rsidR="00D25184" w:rsidRDefault="00A71A99" w:rsidP="009D2A83">
            <w:pPr>
              <w:widowControl/>
              <w:adjustRightInd w:val="0"/>
              <w:snapToGrid w:val="0"/>
              <w:spacing w:line="340" w:lineRule="exact"/>
              <w:ind w:firstLineChars="300" w:firstLine="581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《中华人民共和国劳动合同法》</w:t>
            </w:r>
          </w:p>
        </w:tc>
      </w:tr>
      <w:tr w:rsidR="00D25184">
        <w:trPr>
          <w:trHeight w:val="630"/>
          <w:jc w:val="center"/>
        </w:trPr>
        <w:tc>
          <w:tcPr>
            <w:tcW w:w="484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lastRenderedPageBreak/>
              <w:t>35</w:t>
            </w:r>
          </w:p>
        </w:tc>
        <w:tc>
          <w:tcPr>
            <w:tcW w:w="3255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使用“交易所”字样的交易场所审批</w:t>
            </w:r>
          </w:p>
        </w:tc>
        <w:tc>
          <w:tcPr>
            <w:tcW w:w="1920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国务院或国务院金融管理部门、省级人民政府</w:t>
            </w:r>
          </w:p>
        </w:tc>
        <w:tc>
          <w:tcPr>
            <w:tcW w:w="4053" w:type="dxa"/>
            <w:vAlign w:val="center"/>
          </w:tcPr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《防范和处置非法集资条例》</w:t>
            </w:r>
          </w:p>
          <w:p w:rsidR="00D25184" w:rsidRDefault="00A71A99">
            <w:pPr>
              <w:widowControl/>
              <w:spacing w:line="340" w:lineRule="exact"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《国务院关于清理整顿各类交易场所切实防范金融风险的决定》（国发〔</w:t>
            </w: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2011</w:t>
            </w: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〕</w:t>
            </w: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38</w:t>
            </w: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号）</w:t>
            </w:r>
          </w:p>
        </w:tc>
      </w:tr>
      <w:bookmarkEnd w:id="0"/>
    </w:tbl>
    <w:p w:rsidR="00D25184" w:rsidRDefault="00D25184">
      <w:pPr>
        <w:spacing w:line="14" w:lineRule="exact"/>
      </w:pPr>
    </w:p>
    <w:sectPr w:rsidR="00D25184" w:rsidSect="00D25184">
      <w:footerReference w:type="even" r:id="rId7"/>
      <w:footerReference w:type="default" r:id="rId8"/>
      <w:pgSz w:w="11906" w:h="16838"/>
      <w:pgMar w:top="1984" w:right="1474" w:bottom="1644" w:left="1474" w:header="851" w:footer="1191" w:gutter="0"/>
      <w:pgNumType w:fmt="numberInDash"/>
      <w:cols w:space="720"/>
      <w:docGrid w:type="linesAndChars" w:linePitch="287" w:charSpace="-131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6244" w:rsidRDefault="006C6244" w:rsidP="00D25184">
      <w:r>
        <w:separator/>
      </w:r>
    </w:p>
  </w:endnote>
  <w:endnote w:type="continuationSeparator" w:id="0">
    <w:p w:rsidR="006C6244" w:rsidRDefault="006C6244" w:rsidP="00D251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方正舒体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184" w:rsidRDefault="00A71A99">
    <w:pPr>
      <w:pStyle w:val="a3"/>
      <w:framePr w:wrap="around" w:vAnchor="page" w:hAnchor="page" w:x="1832" w:y="15280"/>
      <w:ind w:left="210" w:hangingChars="75" w:hanging="210"/>
      <w:rPr>
        <w:rStyle w:val="a5"/>
        <w:rFonts w:ascii="宋体" w:hAnsi="宋体"/>
        <w:sz w:val="28"/>
        <w:szCs w:val="28"/>
      </w:rPr>
    </w:pPr>
    <w:r>
      <w:rPr>
        <w:rStyle w:val="a5"/>
        <w:rFonts w:ascii="宋体" w:hAnsi="宋体" w:hint="eastAsia"/>
        <w:sz w:val="28"/>
        <w:szCs w:val="28"/>
      </w:rPr>
      <w:t xml:space="preserve">— </w:t>
    </w:r>
    <w:r w:rsidR="00E5411D">
      <w:rPr>
        <w:rFonts w:ascii="宋体" w:hAnsi="宋体"/>
        <w:sz w:val="28"/>
        <w:szCs w:val="28"/>
      </w:rPr>
      <w:fldChar w:fldCharType="begin"/>
    </w:r>
    <w:r>
      <w:rPr>
        <w:rStyle w:val="a5"/>
        <w:rFonts w:ascii="宋体" w:hAnsi="宋体"/>
        <w:sz w:val="28"/>
        <w:szCs w:val="28"/>
      </w:rPr>
      <w:instrText xml:space="preserve"> PAGE  \* Arabic </w:instrText>
    </w:r>
    <w:r w:rsidR="00E5411D">
      <w:rPr>
        <w:rFonts w:ascii="宋体" w:hAnsi="宋体"/>
        <w:sz w:val="28"/>
        <w:szCs w:val="28"/>
      </w:rPr>
      <w:fldChar w:fldCharType="separate"/>
    </w:r>
    <w:r w:rsidR="004E30ED">
      <w:rPr>
        <w:rStyle w:val="a5"/>
        <w:rFonts w:ascii="宋体" w:hAnsi="宋体"/>
        <w:noProof/>
        <w:sz w:val="28"/>
        <w:szCs w:val="28"/>
      </w:rPr>
      <w:t>4</w:t>
    </w:r>
    <w:r w:rsidR="00E5411D">
      <w:rPr>
        <w:rFonts w:ascii="宋体" w:hAnsi="宋体"/>
        <w:sz w:val="28"/>
        <w:szCs w:val="28"/>
      </w:rPr>
      <w:fldChar w:fldCharType="end"/>
    </w:r>
    <w:r>
      <w:rPr>
        <w:rStyle w:val="a5"/>
        <w:rFonts w:ascii="宋体" w:hAnsi="宋体" w:hint="eastAsia"/>
        <w:sz w:val="28"/>
        <w:szCs w:val="28"/>
      </w:rPr>
      <w:t xml:space="preserve"> —</w:t>
    </w:r>
  </w:p>
  <w:p w:rsidR="00D25184" w:rsidRDefault="00D25184">
    <w:pPr>
      <w:pStyle w:val="a3"/>
      <w:spacing w:line="20" w:lineRule="exact"/>
      <w:ind w:right="35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184" w:rsidRDefault="00A71A99">
    <w:pPr>
      <w:pStyle w:val="a3"/>
      <w:framePr w:wrap="around" w:vAnchor="page" w:hAnchor="page" w:x="9134" w:y="15280"/>
      <w:ind w:rightChars="-14" w:right="-29"/>
      <w:rPr>
        <w:rStyle w:val="a5"/>
        <w:rFonts w:ascii="宋体" w:hAnsi="宋体"/>
        <w:sz w:val="28"/>
        <w:szCs w:val="28"/>
      </w:rPr>
    </w:pPr>
    <w:r>
      <w:rPr>
        <w:rStyle w:val="a5"/>
        <w:rFonts w:ascii="宋体" w:hAnsi="宋体" w:hint="eastAsia"/>
        <w:sz w:val="28"/>
        <w:szCs w:val="28"/>
      </w:rPr>
      <w:t xml:space="preserve">— </w:t>
    </w:r>
    <w:r w:rsidR="00E5411D">
      <w:rPr>
        <w:rFonts w:ascii="宋体" w:hAnsi="宋体"/>
        <w:sz w:val="28"/>
        <w:szCs w:val="28"/>
      </w:rPr>
      <w:fldChar w:fldCharType="begin"/>
    </w:r>
    <w:r>
      <w:rPr>
        <w:rStyle w:val="a5"/>
        <w:rFonts w:ascii="宋体" w:hAnsi="宋体"/>
        <w:sz w:val="28"/>
        <w:szCs w:val="28"/>
      </w:rPr>
      <w:instrText xml:space="preserve"> PAGE  \* Arabic </w:instrText>
    </w:r>
    <w:r w:rsidR="00E5411D">
      <w:rPr>
        <w:rFonts w:ascii="宋体" w:hAnsi="宋体"/>
        <w:sz w:val="28"/>
        <w:szCs w:val="28"/>
      </w:rPr>
      <w:fldChar w:fldCharType="separate"/>
    </w:r>
    <w:r w:rsidR="004E30ED">
      <w:rPr>
        <w:rStyle w:val="a5"/>
        <w:rFonts w:ascii="宋体" w:hAnsi="宋体"/>
        <w:noProof/>
        <w:sz w:val="28"/>
        <w:szCs w:val="28"/>
      </w:rPr>
      <w:t>3</w:t>
    </w:r>
    <w:r w:rsidR="00E5411D">
      <w:rPr>
        <w:rFonts w:ascii="宋体" w:hAnsi="宋体"/>
        <w:sz w:val="28"/>
        <w:szCs w:val="28"/>
      </w:rPr>
      <w:fldChar w:fldCharType="end"/>
    </w:r>
    <w:r>
      <w:rPr>
        <w:rStyle w:val="a5"/>
        <w:rFonts w:ascii="宋体" w:hAnsi="宋体" w:hint="eastAsia"/>
        <w:sz w:val="28"/>
        <w:szCs w:val="28"/>
      </w:rPr>
      <w:t xml:space="preserve"> —  </w:t>
    </w:r>
  </w:p>
  <w:p w:rsidR="00D25184" w:rsidRDefault="00D25184">
    <w:pPr>
      <w:pStyle w:val="a3"/>
      <w:spacing w:line="20" w:lineRule="exact"/>
      <w:ind w:right="35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6244" w:rsidRDefault="006C6244" w:rsidP="00D25184">
      <w:r>
        <w:separator/>
      </w:r>
    </w:p>
  </w:footnote>
  <w:footnote w:type="continuationSeparator" w:id="0">
    <w:p w:rsidR="006C6244" w:rsidRDefault="006C6244" w:rsidP="00D251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stylePaneFormatFilter w:val="3F01"/>
  <w:documentProtection w:edit="forms" w:enforcement="0"/>
  <w:defaultTabStop w:val="420"/>
  <w:evenAndOddHeaders/>
  <w:drawingGridHorizontalSpacing w:val="102"/>
  <w:drawingGridVerticalSpacing w:val="144"/>
  <w:displayHorizontalDrawingGridEvery w:val="2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7F3B"/>
    <w:rsid w:val="00003A4D"/>
    <w:rsid w:val="00015C60"/>
    <w:rsid w:val="00044388"/>
    <w:rsid w:val="0005066C"/>
    <w:rsid w:val="00052B1C"/>
    <w:rsid w:val="0005386C"/>
    <w:rsid w:val="00096AF1"/>
    <w:rsid w:val="000B684E"/>
    <w:rsid w:val="000B6F15"/>
    <w:rsid w:val="000C108E"/>
    <w:rsid w:val="000C1717"/>
    <w:rsid w:val="000C3733"/>
    <w:rsid w:val="000C7C86"/>
    <w:rsid w:val="0010712D"/>
    <w:rsid w:val="00111CCF"/>
    <w:rsid w:val="001165DF"/>
    <w:rsid w:val="0013549C"/>
    <w:rsid w:val="0014015D"/>
    <w:rsid w:val="001535A7"/>
    <w:rsid w:val="001653FC"/>
    <w:rsid w:val="0019093B"/>
    <w:rsid w:val="001A0245"/>
    <w:rsid w:val="001B449F"/>
    <w:rsid w:val="001B5F7E"/>
    <w:rsid w:val="001B67EB"/>
    <w:rsid w:val="00200C32"/>
    <w:rsid w:val="00203867"/>
    <w:rsid w:val="00206602"/>
    <w:rsid w:val="002233F5"/>
    <w:rsid w:val="00230604"/>
    <w:rsid w:val="00234B0C"/>
    <w:rsid w:val="0023770C"/>
    <w:rsid w:val="00242417"/>
    <w:rsid w:val="00243E19"/>
    <w:rsid w:val="0026542E"/>
    <w:rsid w:val="00272889"/>
    <w:rsid w:val="00273C2E"/>
    <w:rsid w:val="002768EB"/>
    <w:rsid w:val="00284D81"/>
    <w:rsid w:val="002B7974"/>
    <w:rsid w:val="002E0E52"/>
    <w:rsid w:val="002E3C7C"/>
    <w:rsid w:val="002E7585"/>
    <w:rsid w:val="002F17F2"/>
    <w:rsid w:val="002F59D9"/>
    <w:rsid w:val="003004CB"/>
    <w:rsid w:val="00307C86"/>
    <w:rsid w:val="00311F75"/>
    <w:rsid w:val="003212F7"/>
    <w:rsid w:val="003367EA"/>
    <w:rsid w:val="003603AF"/>
    <w:rsid w:val="00361B8F"/>
    <w:rsid w:val="00382E59"/>
    <w:rsid w:val="00390116"/>
    <w:rsid w:val="003911B9"/>
    <w:rsid w:val="003A2DA7"/>
    <w:rsid w:val="003A6624"/>
    <w:rsid w:val="003A6CDC"/>
    <w:rsid w:val="003B274E"/>
    <w:rsid w:val="003B74FB"/>
    <w:rsid w:val="003C3CFD"/>
    <w:rsid w:val="003C55A0"/>
    <w:rsid w:val="003C682D"/>
    <w:rsid w:val="003E07C6"/>
    <w:rsid w:val="0040068F"/>
    <w:rsid w:val="0041126D"/>
    <w:rsid w:val="00450818"/>
    <w:rsid w:val="00464A77"/>
    <w:rsid w:val="004676E9"/>
    <w:rsid w:val="00470211"/>
    <w:rsid w:val="00486503"/>
    <w:rsid w:val="004B62D6"/>
    <w:rsid w:val="004C39B8"/>
    <w:rsid w:val="004C4F91"/>
    <w:rsid w:val="004D4C3D"/>
    <w:rsid w:val="004D5194"/>
    <w:rsid w:val="004D5B74"/>
    <w:rsid w:val="004E30ED"/>
    <w:rsid w:val="00511FE8"/>
    <w:rsid w:val="00537D75"/>
    <w:rsid w:val="00545623"/>
    <w:rsid w:val="00545C5B"/>
    <w:rsid w:val="00547FE6"/>
    <w:rsid w:val="0056010B"/>
    <w:rsid w:val="00572160"/>
    <w:rsid w:val="005751E3"/>
    <w:rsid w:val="005833DE"/>
    <w:rsid w:val="00593EB7"/>
    <w:rsid w:val="005A6FC8"/>
    <w:rsid w:val="005D0EE0"/>
    <w:rsid w:val="005D3DCC"/>
    <w:rsid w:val="005D555D"/>
    <w:rsid w:val="005E0AD9"/>
    <w:rsid w:val="005F2447"/>
    <w:rsid w:val="0062082B"/>
    <w:rsid w:val="00633319"/>
    <w:rsid w:val="00634466"/>
    <w:rsid w:val="0064131C"/>
    <w:rsid w:val="006554DD"/>
    <w:rsid w:val="006723F8"/>
    <w:rsid w:val="00682AD8"/>
    <w:rsid w:val="00691C5D"/>
    <w:rsid w:val="006A2B4C"/>
    <w:rsid w:val="006B5231"/>
    <w:rsid w:val="006C4A2D"/>
    <w:rsid w:val="006C6244"/>
    <w:rsid w:val="006C7F3B"/>
    <w:rsid w:val="006F1CEE"/>
    <w:rsid w:val="007050E0"/>
    <w:rsid w:val="007157B6"/>
    <w:rsid w:val="00721181"/>
    <w:rsid w:val="00734C68"/>
    <w:rsid w:val="0077261D"/>
    <w:rsid w:val="00772B5A"/>
    <w:rsid w:val="007930D4"/>
    <w:rsid w:val="007A0E30"/>
    <w:rsid w:val="007A3AED"/>
    <w:rsid w:val="007A3C75"/>
    <w:rsid w:val="007E02F4"/>
    <w:rsid w:val="007F0694"/>
    <w:rsid w:val="007F0E60"/>
    <w:rsid w:val="00811E43"/>
    <w:rsid w:val="008155C0"/>
    <w:rsid w:val="008271E0"/>
    <w:rsid w:val="00833AD3"/>
    <w:rsid w:val="00847D0E"/>
    <w:rsid w:val="00857F35"/>
    <w:rsid w:val="008603FD"/>
    <w:rsid w:val="0088515C"/>
    <w:rsid w:val="00886904"/>
    <w:rsid w:val="00891223"/>
    <w:rsid w:val="008A04F8"/>
    <w:rsid w:val="008A3ED2"/>
    <w:rsid w:val="008A4B13"/>
    <w:rsid w:val="008B3D74"/>
    <w:rsid w:val="008C1505"/>
    <w:rsid w:val="008C3283"/>
    <w:rsid w:val="008D0E73"/>
    <w:rsid w:val="008D2DF0"/>
    <w:rsid w:val="008E1F73"/>
    <w:rsid w:val="008E424F"/>
    <w:rsid w:val="00925758"/>
    <w:rsid w:val="0092754F"/>
    <w:rsid w:val="009427B2"/>
    <w:rsid w:val="00946AC0"/>
    <w:rsid w:val="00952532"/>
    <w:rsid w:val="00973B75"/>
    <w:rsid w:val="00973F2B"/>
    <w:rsid w:val="009862E8"/>
    <w:rsid w:val="009C35E5"/>
    <w:rsid w:val="009D2A83"/>
    <w:rsid w:val="009E5CEC"/>
    <w:rsid w:val="009E659A"/>
    <w:rsid w:val="009F045D"/>
    <w:rsid w:val="009F7CF4"/>
    <w:rsid w:val="00A06596"/>
    <w:rsid w:val="00A135BD"/>
    <w:rsid w:val="00A301C0"/>
    <w:rsid w:val="00A3338C"/>
    <w:rsid w:val="00A44E06"/>
    <w:rsid w:val="00A54AB7"/>
    <w:rsid w:val="00A55315"/>
    <w:rsid w:val="00A65A4B"/>
    <w:rsid w:val="00A71A99"/>
    <w:rsid w:val="00A90D1B"/>
    <w:rsid w:val="00AA1E81"/>
    <w:rsid w:val="00AA4993"/>
    <w:rsid w:val="00AA68DA"/>
    <w:rsid w:val="00AA7D00"/>
    <w:rsid w:val="00AC3C00"/>
    <w:rsid w:val="00AD0E93"/>
    <w:rsid w:val="00AD542B"/>
    <w:rsid w:val="00AF4521"/>
    <w:rsid w:val="00AF4880"/>
    <w:rsid w:val="00AF50A4"/>
    <w:rsid w:val="00B500F1"/>
    <w:rsid w:val="00B53539"/>
    <w:rsid w:val="00B63660"/>
    <w:rsid w:val="00B716EF"/>
    <w:rsid w:val="00B72BB7"/>
    <w:rsid w:val="00B75B51"/>
    <w:rsid w:val="00B87CA7"/>
    <w:rsid w:val="00B9341B"/>
    <w:rsid w:val="00BA4E25"/>
    <w:rsid w:val="00BC3298"/>
    <w:rsid w:val="00BD1F27"/>
    <w:rsid w:val="00BD4062"/>
    <w:rsid w:val="00BE1BFB"/>
    <w:rsid w:val="00BE5C27"/>
    <w:rsid w:val="00BF1EF9"/>
    <w:rsid w:val="00BF2AEC"/>
    <w:rsid w:val="00C04FD8"/>
    <w:rsid w:val="00C147E3"/>
    <w:rsid w:val="00C24AEE"/>
    <w:rsid w:val="00C47B6E"/>
    <w:rsid w:val="00C54BF5"/>
    <w:rsid w:val="00C7571E"/>
    <w:rsid w:val="00C83848"/>
    <w:rsid w:val="00C9179B"/>
    <w:rsid w:val="00CA256F"/>
    <w:rsid w:val="00CD0A64"/>
    <w:rsid w:val="00CD0B20"/>
    <w:rsid w:val="00D20FF5"/>
    <w:rsid w:val="00D21574"/>
    <w:rsid w:val="00D25184"/>
    <w:rsid w:val="00D33805"/>
    <w:rsid w:val="00D33DFB"/>
    <w:rsid w:val="00D4155F"/>
    <w:rsid w:val="00D533CE"/>
    <w:rsid w:val="00D5626B"/>
    <w:rsid w:val="00D60AFA"/>
    <w:rsid w:val="00D76DED"/>
    <w:rsid w:val="00D80741"/>
    <w:rsid w:val="00D90DD3"/>
    <w:rsid w:val="00D94500"/>
    <w:rsid w:val="00DA2233"/>
    <w:rsid w:val="00DC6F09"/>
    <w:rsid w:val="00DD22CA"/>
    <w:rsid w:val="00DD50D2"/>
    <w:rsid w:val="00DE73D7"/>
    <w:rsid w:val="00DF51DB"/>
    <w:rsid w:val="00E13A28"/>
    <w:rsid w:val="00E178C2"/>
    <w:rsid w:val="00E2087A"/>
    <w:rsid w:val="00E21872"/>
    <w:rsid w:val="00E50D53"/>
    <w:rsid w:val="00E5411D"/>
    <w:rsid w:val="00E57982"/>
    <w:rsid w:val="00E60AF6"/>
    <w:rsid w:val="00E638E6"/>
    <w:rsid w:val="00E70CFF"/>
    <w:rsid w:val="00E93FB6"/>
    <w:rsid w:val="00E97C50"/>
    <w:rsid w:val="00EA2A65"/>
    <w:rsid w:val="00EB46A9"/>
    <w:rsid w:val="00EB479E"/>
    <w:rsid w:val="00EB4966"/>
    <w:rsid w:val="00EE2846"/>
    <w:rsid w:val="00F01E65"/>
    <w:rsid w:val="00F0318D"/>
    <w:rsid w:val="00F2159A"/>
    <w:rsid w:val="00F31CB8"/>
    <w:rsid w:val="00F33AD3"/>
    <w:rsid w:val="00F43EB4"/>
    <w:rsid w:val="00F6029C"/>
    <w:rsid w:val="00F82544"/>
    <w:rsid w:val="00F907DC"/>
    <w:rsid w:val="00F917ED"/>
    <w:rsid w:val="00F92BEB"/>
    <w:rsid w:val="00F95B3C"/>
    <w:rsid w:val="00FA51A5"/>
    <w:rsid w:val="00FA63DC"/>
    <w:rsid w:val="00FB3144"/>
    <w:rsid w:val="00FC354C"/>
    <w:rsid w:val="00FD0A4D"/>
    <w:rsid w:val="00FD1CF0"/>
    <w:rsid w:val="00FF3598"/>
    <w:rsid w:val="094B2BE2"/>
    <w:rsid w:val="09F83162"/>
    <w:rsid w:val="100260D5"/>
    <w:rsid w:val="10BD49C8"/>
    <w:rsid w:val="152777B3"/>
    <w:rsid w:val="16B95A05"/>
    <w:rsid w:val="1F8E67C3"/>
    <w:rsid w:val="213A6C19"/>
    <w:rsid w:val="219C77F3"/>
    <w:rsid w:val="2469288B"/>
    <w:rsid w:val="248601A1"/>
    <w:rsid w:val="26522FBD"/>
    <w:rsid w:val="26E217C0"/>
    <w:rsid w:val="27E73397"/>
    <w:rsid w:val="286970FD"/>
    <w:rsid w:val="2D521777"/>
    <w:rsid w:val="2ED25E69"/>
    <w:rsid w:val="2EDE7EEF"/>
    <w:rsid w:val="37886D30"/>
    <w:rsid w:val="388E514A"/>
    <w:rsid w:val="3A1E0ECB"/>
    <w:rsid w:val="3ACA269F"/>
    <w:rsid w:val="3BCB31EA"/>
    <w:rsid w:val="3BEA08F2"/>
    <w:rsid w:val="40B40A12"/>
    <w:rsid w:val="42984E24"/>
    <w:rsid w:val="42DE1E41"/>
    <w:rsid w:val="44FA0CA1"/>
    <w:rsid w:val="4599376B"/>
    <w:rsid w:val="47020F0C"/>
    <w:rsid w:val="481E0374"/>
    <w:rsid w:val="4CD72D9E"/>
    <w:rsid w:val="4E4974AB"/>
    <w:rsid w:val="4FB4126C"/>
    <w:rsid w:val="532C78EE"/>
    <w:rsid w:val="53E24437"/>
    <w:rsid w:val="570D11AE"/>
    <w:rsid w:val="57F90D46"/>
    <w:rsid w:val="5AA64F2A"/>
    <w:rsid w:val="5B050C25"/>
    <w:rsid w:val="5B910B4E"/>
    <w:rsid w:val="5C02545F"/>
    <w:rsid w:val="5C0F3234"/>
    <w:rsid w:val="5D913649"/>
    <w:rsid w:val="5EE15EEA"/>
    <w:rsid w:val="637549F8"/>
    <w:rsid w:val="6718714E"/>
    <w:rsid w:val="6D8A27E1"/>
    <w:rsid w:val="701039AD"/>
    <w:rsid w:val="70DA7B98"/>
    <w:rsid w:val="738037F1"/>
    <w:rsid w:val="74FD44A3"/>
    <w:rsid w:val="77AE09AA"/>
    <w:rsid w:val="79C11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Default Paragraph Font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D2518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251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rsid w:val="00D251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rsid w:val="00D25184"/>
  </w:style>
  <w:style w:type="paragraph" w:customStyle="1" w:styleId="New">
    <w:name w:val="正文 New"/>
    <w:basedOn w:val="a"/>
    <w:qFormat/>
    <w:rsid w:val="00D25184"/>
    <w:pPr>
      <w:spacing w:line="240" w:lineRule="atLeast"/>
    </w:pPr>
    <w:rPr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381</Words>
  <Characters>2177</Characters>
  <Application>Microsoft Office Word</Application>
  <DocSecurity>0</DocSecurity>
  <Lines>18</Lines>
  <Paragraphs>5</Paragraphs>
  <ScaleCrop>false</ScaleCrop>
  <Company>***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苏丽</dc:creator>
  <cp:lastModifiedBy>王晓东</cp:lastModifiedBy>
  <cp:revision>4</cp:revision>
  <cp:lastPrinted>2021-05-13T08:21:00Z</cp:lastPrinted>
  <dcterms:created xsi:type="dcterms:W3CDTF">2021-05-13T07:59:00Z</dcterms:created>
  <dcterms:modified xsi:type="dcterms:W3CDTF">2021-05-13T08:21:00Z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2052-10.8.2.6990</vt:lpwstr>
  </property>
</Properties>
</file>