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458" w:rsidRDefault="00337458">
      <w:pPr>
        <w:spacing w:line="594" w:lineRule="exact"/>
        <w:jc w:val="center"/>
        <w:rPr>
          <w:rFonts w:eastAsia="黑体" w:cs="华文楷体"/>
          <w:bCs/>
          <w:color w:val="000000"/>
        </w:rPr>
      </w:pPr>
      <w:bookmarkStart w:id="0" w:name="fldWJNR2"/>
    </w:p>
    <w:p w:rsidR="00337458" w:rsidRDefault="00EF59B1">
      <w:pPr>
        <w:spacing w:line="594" w:lineRule="exact"/>
        <w:jc w:val="center"/>
        <w:rPr>
          <w:rFonts w:eastAsia="方正小标宋简体" w:cs="华文楷体"/>
          <w:bCs/>
          <w:color w:val="000000"/>
          <w:spacing w:val="-6"/>
          <w:sz w:val="36"/>
          <w:szCs w:val="36"/>
        </w:rPr>
      </w:pPr>
      <w:r>
        <w:rPr>
          <w:rFonts w:eastAsia="方正小标宋简体" w:cs="华文楷体" w:hint="eastAsia"/>
          <w:bCs/>
          <w:color w:val="000000"/>
          <w:spacing w:val="-6"/>
          <w:sz w:val="36"/>
          <w:szCs w:val="36"/>
        </w:rPr>
        <w:t>企业变更登记、注销登记前置审批事项目录</w:t>
      </w:r>
    </w:p>
    <w:p w:rsidR="00337458" w:rsidRDefault="00EF59B1">
      <w:pPr>
        <w:spacing w:line="594" w:lineRule="exact"/>
        <w:jc w:val="center"/>
        <w:rPr>
          <w:rFonts w:eastAsia="方正小标宋简体" w:cs="华文楷体"/>
          <w:bCs/>
          <w:color w:val="000000"/>
          <w:sz w:val="44"/>
          <w:szCs w:val="44"/>
        </w:rPr>
      </w:pPr>
      <w:r>
        <w:rPr>
          <w:rFonts w:ascii="楷体_GB2312" w:eastAsia="楷体_GB2312" w:hAnsi="楷体_GB2312" w:cs="楷体_GB2312" w:hint="eastAsia"/>
          <w:bCs/>
          <w:color w:val="000000"/>
          <w:kern w:val="0"/>
          <w:sz w:val="36"/>
          <w:szCs w:val="36"/>
        </w:rPr>
        <w:t>（</w:t>
      </w:r>
      <w:r>
        <w:rPr>
          <w:rFonts w:ascii="楷体_GB2312" w:eastAsia="楷体_GB2312" w:hAnsi="楷体_GB2312" w:cs="楷体_GB2312" w:hint="eastAsia"/>
          <w:sz w:val="32"/>
        </w:rPr>
        <w:t>2021年</w:t>
      </w:r>
      <w:r>
        <w:rPr>
          <w:rFonts w:ascii="楷体_GB2312" w:eastAsia="楷体_GB2312" w:hAnsi="楷体_GB2312" w:cs="楷体_GB2312" w:hint="eastAsia"/>
          <w:bCs/>
          <w:color w:val="000000"/>
          <w:kern w:val="0"/>
          <w:sz w:val="36"/>
          <w:szCs w:val="36"/>
        </w:rPr>
        <w:t>）</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13" w:type="dxa"/>
          <w:bottom w:w="57" w:type="dxa"/>
          <w:right w:w="113" w:type="dxa"/>
        </w:tblCellMar>
        <w:tblLook w:val="04A0"/>
      </w:tblPr>
      <w:tblGrid>
        <w:gridCol w:w="552"/>
        <w:gridCol w:w="3255"/>
        <w:gridCol w:w="1920"/>
        <w:gridCol w:w="4005"/>
      </w:tblGrid>
      <w:tr w:rsidR="00337458">
        <w:trPr>
          <w:cantSplit/>
          <w:trHeight w:val="325"/>
          <w:tblHeader/>
          <w:jc w:val="center"/>
        </w:trPr>
        <w:tc>
          <w:tcPr>
            <w:tcW w:w="552" w:type="dxa"/>
            <w:vAlign w:val="center"/>
          </w:tcPr>
          <w:p w:rsidR="00337458" w:rsidRDefault="00EF59B1">
            <w:pPr>
              <w:adjustRightInd w:val="0"/>
              <w:snapToGrid w:val="0"/>
              <w:spacing w:line="320" w:lineRule="exact"/>
              <w:jc w:val="center"/>
              <w:rPr>
                <w:rFonts w:eastAsia="黑体" w:cs="黑体"/>
                <w:color w:val="000000"/>
                <w:sz w:val="20"/>
                <w:szCs w:val="20"/>
              </w:rPr>
            </w:pPr>
            <w:r>
              <w:rPr>
                <w:rFonts w:eastAsia="黑体" w:cs="黑体" w:hint="eastAsia"/>
                <w:color w:val="000000"/>
                <w:sz w:val="20"/>
                <w:szCs w:val="20"/>
              </w:rPr>
              <w:t>序号</w:t>
            </w:r>
          </w:p>
        </w:tc>
        <w:tc>
          <w:tcPr>
            <w:tcW w:w="3255" w:type="dxa"/>
            <w:vAlign w:val="center"/>
          </w:tcPr>
          <w:p w:rsidR="00337458" w:rsidRDefault="00EF59B1">
            <w:pPr>
              <w:adjustRightInd w:val="0"/>
              <w:snapToGrid w:val="0"/>
              <w:spacing w:line="340" w:lineRule="exact"/>
              <w:jc w:val="center"/>
              <w:rPr>
                <w:rFonts w:eastAsia="黑体" w:cs="黑体"/>
                <w:color w:val="000000"/>
                <w:sz w:val="20"/>
                <w:szCs w:val="20"/>
              </w:rPr>
            </w:pPr>
            <w:r>
              <w:rPr>
                <w:rFonts w:eastAsia="黑体" w:cs="黑体" w:hint="eastAsia"/>
                <w:color w:val="000000"/>
                <w:sz w:val="20"/>
                <w:szCs w:val="20"/>
              </w:rPr>
              <w:t>项目名称</w:t>
            </w:r>
          </w:p>
        </w:tc>
        <w:tc>
          <w:tcPr>
            <w:tcW w:w="1920" w:type="dxa"/>
            <w:vAlign w:val="center"/>
          </w:tcPr>
          <w:p w:rsidR="00337458" w:rsidRDefault="00EF59B1">
            <w:pPr>
              <w:adjustRightInd w:val="0"/>
              <w:snapToGrid w:val="0"/>
              <w:spacing w:line="340" w:lineRule="exact"/>
              <w:jc w:val="center"/>
              <w:rPr>
                <w:rFonts w:eastAsia="黑体" w:cs="黑体"/>
                <w:color w:val="000000"/>
                <w:sz w:val="20"/>
                <w:szCs w:val="20"/>
              </w:rPr>
            </w:pPr>
            <w:r>
              <w:rPr>
                <w:rFonts w:eastAsia="黑体" w:cs="黑体" w:hint="eastAsia"/>
                <w:color w:val="000000"/>
                <w:sz w:val="20"/>
                <w:szCs w:val="20"/>
              </w:rPr>
              <w:t>实施部门</w:t>
            </w:r>
          </w:p>
        </w:tc>
        <w:tc>
          <w:tcPr>
            <w:tcW w:w="4005" w:type="dxa"/>
            <w:vAlign w:val="center"/>
          </w:tcPr>
          <w:p w:rsidR="00337458" w:rsidRDefault="00EF59B1">
            <w:pPr>
              <w:adjustRightInd w:val="0"/>
              <w:snapToGrid w:val="0"/>
              <w:spacing w:line="340" w:lineRule="exact"/>
              <w:jc w:val="center"/>
              <w:rPr>
                <w:rFonts w:eastAsia="黑体" w:cs="黑体"/>
                <w:color w:val="000000"/>
                <w:sz w:val="20"/>
                <w:szCs w:val="20"/>
              </w:rPr>
            </w:pPr>
            <w:r>
              <w:rPr>
                <w:rFonts w:eastAsia="黑体" w:cs="黑体" w:hint="eastAsia"/>
                <w:color w:val="000000"/>
                <w:sz w:val="20"/>
                <w:szCs w:val="20"/>
              </w:rPr>
              <w:t>设定依据</w:t>
            </w:r>
          </w:p>
        </w:tc>
      </w:tr>
      <w:tr w:rsidR="00337458">
        <w:trPr>
          <w:cantSplit/>
          <w:trHeight w:val="1004"/>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1</w:t>
            </w:r>
          </w:p>
        </w:tc>
        <w:tc>
          <w:tcPr>
            <w:tcW w:w="3255" w:type="dxa"/>
            <w:vAlign w:val="center"/>
          </w:tcPr>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民用爆炸物品销售许可</w:t>
            </w:r>
          </w:p>
        </w:tc>
        <w:tc>
          <w:tcPr>
            <w:tcW w:w="1920" w:type="dxa"/>
            <w:vAlign w:val="center"/>
          </w:tcPr>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省级人民政府民用爆炸物品行业主管部门</w:t>
            </w:r>
          </w:p>
        </w:tc>
        <w:tc>
          <w:tcPr>
            <w:tcW w:w="4005"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《民用爆炸物品安全管理条例》</w:t>
            </w:r>
          </w:p>
        </w:tc>
      </w:tr>
      <w:tr w:rsidR="00337458">
        <w:trPr>
          <w:cantSplit/>
          <w:trHeight w:val="235"/>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2</w:t>
            </w:r>
          </w:p>
        </w:tc>
        <w:tc>
          <w:tcPr>
            <w:tcW w:w="3255" w:type="dxa"/>
            <w:vAlign w:val="center"/>
          </w:tcPr>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保安服务企业变更法定代表人</w:t>
            </w:r>
          </w:p>
        </w:tc>
        <w:tc>
          <w:tcPr>
            <w:tcW w:w="1920" w:type="dxa"/>
            <w:vAlign w:val="center"/>
          </w:tcPr>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省级人民政府公安部门</w:t>
            </w:r>
          </w:p>
        </w:tc>
        <w:tc>
          <w:tcPr>
            <w:tcW w:w="4005"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《保安服务管理条例》</w:t>
            </w:r>
          </w:p>
        </w:tc>
      </w:tr>
      <w:tr w:rsidR="00337458">
        <w:trPr>
          <w:cantSplit/>
          <w:trHeight w:val="235"/>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3</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经营劳务派遣业务许可</w:t>
            </w:r>
          </w:p>
        </w:tc>
        <w:tc>
          <w:tcPr>
            <w:tcW w:w="1920" w:type="dxa"/>
            <w:vAlign w:val="center"/>
          </w:tcPr>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省、市、县级人民政府人力资源社会保障部门</w:t>
            </w:r>
          </w:p>
        </w:tc>
        <w:tc>
          <w:tcPr>
            <w:tcW w:w="4005" w:type="dxa"/>
            <w:vAlign w:val="center"/>
          </w:tcPr>
          <w:p w:rsidR="00337458" w:rsidRDefault="00EF59B1">
            <w:pPr>
              <w:pStyle w:val="New"/>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sz w:val="20"/>
                <w:szCs w:val="20"/>
              </w:rPr>
              <w:t>《中华人民共和国劳动合同法》</w:t>
            </w:r>
          </w:p>
        </w:tc>
      </w:tr>
      <w:tr w:rsidR="00337458">
        <w:trPr>
          <w:cantSplit/>
          <w:trHeight w:val="67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4</w:t>
            </w:r>
          </w:p>
        </w:tc>
        <w:tc>
          <w:tcPr>
            <w:tcW w:w="3255"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直销企业及其分支机构设立</w:t>
            </w:r>
            <w:proofErr w:type="gramStart"/>
            <w:r>
              <w:rPr>
                <w:rFonts w:eastAsia="仿宋_GB2312" w:cs="仿宋_GB2312" w:hint="eastAsia"/>
                <w:color w:val="000000"/>
                <w:sz w:val="20"/>
                <w:szCs w:val="20"/>
              </w:rPr>
              <w:t>和</w:t>
            </w:r>
            <w:proofErr w:type="gramEnd"/>
          </w:p>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变更审批</w:t>
            </w:r>
          </w:p>
        </w:tc>
        <w:tc>
          <w:tcPr>
            <w:tcW w:w="1920"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中华人民共和国商务部</w:t>
            </w:r>
          </w:p>
        </w:tc>
        <w:tc>
          <w:tcPr>
            <w:tcW w:w="4005"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《直销管理条例》</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5</w:t>
            </w:r>
          </w:p>
        </w:tc>
        <w:tc>
          <w:tcPr>
            <w:tcW w:w="3255"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对外劳务合作经营资格核准</w:t>
            </w:r>
          </w:p>
        </w:tc>
        <w:tc>
          <w:tcPr>
            <w:tcW w:w="1920"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省级或者设区的市级人民政府商务行政主管部门</w:t>
            </w:r>
          </w:p>
        </w:tc>
        <w:tc>
          <w:tcPr>
            <w:tcW w:w="4005"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《对外劳务合作管理条例》</w:t>
            </w:r>
          </w:p>
        </w:tc>
      </w:tr>
      <w:tr w:rsidR="00337458">
        <w:trPr>
          <w:cantSplit/>
          <w:trHeight w:val="934"/>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6</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个人征信机构设立分支机构、合并或者分立、变更注册资本、变更出资额审批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中国人民银行</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《征信业管理条例》</w:t>
            </w:r>
          </w:p>
        </w:tc>
      </w:tr>
      <w:tr w:rsidR="00337458">
        <w:trPr>
          <w:cantSplit/>
          <w:trHeight w:val="362"/>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7</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出版单位变更名称、主办单位或者其主管部门、业务范围、资本结构，合并或者分立，设立分支机构审批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国家新闻出版署</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《出版管理条例》</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8</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出版物进口经营单位变更名称、业务范围、资本结构、主办单位或者其主管部门，合并或者分立，设立分支机构审批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国家新闻出版署</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《出版管理条例》</w:t>
            </w:r>
          </w:p>
        </w:tc>
      </w:tr>
      <w:tr w:rsidR="00337458">
        <w:trPr>
          <w:cantSplit/>
          <w:trHeight w:val="815"/>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9</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中资银行业金融机构及其分支机构变更、终止以及业务范围审批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中国银行保险监督管理委员会</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《中华人民共和国银行业监督管理法》</w:t>
            </w:r>
          </w:p>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《中华人民共和国商业银行法》</w:t>
            </w:r>
          </w:p>
        </w:tc>
      </w:tr>
      <w:tr w:rsidR="00337458">
        <w:trPr>
          <w:cantSplit/>
          <w:trHeight w:val="288"/>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10</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非银行金融机构（分支机构）变更、终止以及业务范围审批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中国银行保险监督管理委员会</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《中华人民共和国银行业监督管理法》</w:t>
            </w:r>
          </w:p>
        </w:tc>
      </w:tr>
      <w:tr w:rsidR="00337458">
        <w:trPr>
          <w:cantSplit/>
          <w:trHeight w:val="462"/>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lastRenderedPageBreak/>
              <w:t>11</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外资银行变更注册资本或者营运资金、变更机构名称、营业场所或者办公场所、调整业务范围、变更股东或者调整股东持股比例、修改章程以及终结审批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中国银行保险监督管理委员会</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《中华人民共和国外资银行管理条例》</w:t>
            </w:r>
          </w:p>
        </w:tc>
      </w:tr>
      <w:tr w:rsidR="00337458">
        <w:trPr>
          <w:cantSplit/>
          <w:trHeight w:val="462"/>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12</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外国银行代表处变更及终止审批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中国银行保险监督管理委员会</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《中华人民共和国外资银行管理条例》</w:t>
            </w:r>
          </w:p>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《外国企业常驻代表机构登记管理条例》</w:t>
            </w:r>
          </w:p>
        </w:tc>
      </w:tr>
      <w:tr w:rsidR="00337458">
        <w:trPr>
          <w:cantSplit/>
          <w:trHeight w:val="462"/>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13</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融资担保公司变更审批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省级人民政府确定的部门</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《国务院对确需保留的行政审批项目设定行政许可的决定》（国务院令第</w:t>
            </w:r>
            <w:r>
              <w:rPr>
                <w:rFonts w:eastAsia="仿宋_GB2312" w:cs="仿宋_GB2312" w:hint="eastAsia"/>
                <w:color w:val="000000"/>
                <w:sz w:val="20"/>
                <w:szCs w:val="20"/>
              </w:rPr>
              <w:t>412</w:t>
            </w:r>
            <w:r>
              <w:rPr>
                <w:rFonts w:eastAsia="仿宋_GB2312" w:cs="仿宋_GB2312" w:hint="eastAsia"/>
                <w:color w:val="000000"/>
                <w:sz w:val="20"/>
                <w:szCs w:val="20"/>
              </w:rPr>
              <w:t>号）</w:t>
            </w:r>
          </w:p>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《国务院对确需保留的行政审批项目设定行政许可的决定》（国务院令第</w:t>
            </w:r>
            <w:r>
              <w:rPr>
                <w:rFonts w:eastAsia="仿宋_GB2312" w:cs="仿宋_GB2312" w:hint="eastAsia"/>
                <w:color w:val="000000"/>
                <w:sz w:val="20"/>
                <w:szCs w:val="20"/>
              </w:rPr>
              <w:t>548</w:t>
            </w:r>
            <w:r>
              <w:rPr>
                <w:rFonts w:eastAsia="仿宋_GB2312" w:cs="仿宋_GB2312" w:hint="eastAsia"/>
                <w:color w:val="000000"/>
                <w:sz w:val="20"/>
                <w:szCs w:val="20"/>
              </w:rPr>
              <w:t>号）</w:t>
            </w:r>
          </w:p>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《融资担保公司监督管理条例》</w:t>
            </w:r>
          </w:p>
        </w:tc>
      </w:tr>
      <w:tr w:rsidR="00337458">
        <w:trPr>
          <w:cantSplit/>
          <w:trHeight w:val="67"/>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14</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证券登记结算机构解散审批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中国证券监督管理委员会</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w:t>
            </w:r>
            <w:r>
              <w:rPr>
                <w:rFonts w:eastAsia="仿宋_GB2312" w:cs="仿宋_GB2312" w:hint="eastAsia"/>
                <w:color w:val="000000"/>
                <w:kern w:val="0"/>
                <w:sz w:val="20"/>
                <w:szCs w:val="20"/>
              </w:rPr>
              <w:t>中华人民共和国</w:t>
            </w:r>
            <w:r>
              <w:rPr>
                <w:rFonts w:eastAsia="仿宋_GB2312" w:cs="仿宋_GB2312" w:hint="eastAsia"/>
                <w:color w:val="000000"/>
                <w:sz w:val="20"/>
                <w:szCs w:val="20"/>
              </w:rPr>
              <w:t>证券法》</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15</w:t>
            </w:r>
          </w:p>
        </w:tc>
        <w:tc>
          <w:tcPr>
            <w:tcW w:w="3255"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证券公司变更业务范围、变更主要股东或者公司的实际控制人，合并、分立、停业、解散、破产审批</w:t>
            </w:r>
          </w:p>
        </w:tc>
        <w:tc>
          <w:tcPr>
            <w:tcW w:w="1920"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中国证券监督管理委员会</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w:t>
            </w:r>
            <w:r>
              <w:rPr>
                <w:rFonts w:eastAsia="仿宋_GB2312" w:cs="仿宋_GB2312" w:hint="eastAsia"/>
                <w:color w:val="000000"/>
                <w:kern w:val="0"/>
                <w:sz w:val="20"/>
                <w:szCs w:val="20"/>
              </w:rPr>
              <w:t>中华人民共和国</w:t>
            </w:r>
            <w:r>
              <w:rPr>
                <w:rFonts w:eastAsia="仿宋_GB2312" w:cs="仿宋_GB2312" w:hint="eastAsia"/>
                <w:color w:val="000000"/>
                <w:sz w:val="20"/>
                <w:szCs w:val="20"/>
              </w:rPr>
              <w:t>证券法》</w:t>
            </w:r>
          </w:p>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《证券公司监督管理条例》</w:t>
            </w:r>
          </w:p>
        </w:tc>
      </w:tr>
      <w:tr w:rsidR="00337458">
        <w:trPr>
          <w:cantSplit/>
          <w:trHeight w:val="491"/>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16</w:t>
            </w:r>
          </w:p>
        </w:tc>
        <w:tc>
          <w:tcPr>
            <w:tcW w:w="3255" w:type="dxa"/>
            <w:vAlign w:val="center"/>
          </w:tcPr>
          <w:p w:rsidR="00337458" w:rsidRDefault="00EF59B1">
            <w:pPr>
              <w:pStyle w:val="New"/>
              <w:adjustRightInd w:val="0"/>
              <w:snapToGrid w:val="0"/>
              <w:spacing w:line="340" w:lineRule="exact"/>
              <w:jc w:val="center"/>
              <w:rPr>
                <w:rFonts w:eastAsia="仿宋_GB2312" w:cs="仿宋_GB2312"/>
                <w:color w:val="000000"/>
              </w:rPr>
            </w:pPr>
            <w:r>
              <w:rPr>
                <w:rFonts w:eastAsia="仿宋_GB2312" w:cs="仿宋_GB2312" w:hint="eastAsia"/>
                <w:color w:val="000000"/>
                <w:sz w:val="20"/>
                <w:szCs w:val="20"/>
              </w:rPr>
              <w:t>证券金融公司解散审批</w:t>
            </w:r>
          </w:p>
        </w:tc>
        <w:tc>
          <w:tcPr>
            <w:tcW w:w="1920"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w:t>
            </w:r>
          </w:p>
        </w:tc>
        <w:tc>
          <w:tcPr>
            <w:tcW w:w="4005" w:type="dxa"/>
            <w:vAlign w:val="center"/>
          </w:tcPr>
          <w:p w:rsidR="00337458" w:rsidRDefault="00EF59B1">
            <w:pPr>
              <w:spacing w:line="340" w:lineRule="exact"/>
              <w:jc w:val="center"/>
              <w:rPr>
                <w:rFonts w:eastAsia="仿宋_GB2312" w:cs="仿宋_GB2312"/>
                <w:color w:val="000000"/>
                <w:sz w:val="20"/>
                <w:szCs w:val="20"/>
              </w:rPr>
            </w:pPr>
            <w:r>
              <w:rPr>
                <w:rFonts w:eastAsia="仿宋_GB2312" w:cs="仿宋_GB2312" w:hint="eastAsia"/>
                <w:color w:val="000000"/>
                <w:sz w:val="20"/>
                <w:szCs w:val="20"/>
              </w:rPr>
              <w:t>《证券公司监督管理条例》</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17</w:t>
            </w:r>
          </w:p>
        </w:tc>
        <w:tc>
          <w:tcPr>
            <w:tcW w:w="3255"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期货公司境内及境外期货经纪业务、期货投资咨询业务许可</w:t>
            </w:r>
          </w:p>
        </w:tc>
        <w:tc>
          <w:tcPr>
            <w:tcW w:w="1920" w:type="dxa"/>
            <w:vAlign w:val="center"/>
          </w:tcPr>
          <w:p w:rsidR="00337458" w:rsidRDefault="00EF59B1">
            <w:pPr>
              <w:pStyle w:val="New"/>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中国证券监督管理委员会及其派出</w:t>
            </w:r>
          </w:p>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机构</w:t>
            </w:r>
          </w:p>
        </w:tc>
        <w:tc>
          <w:tcPr>
            <w:tcW w:w="4005" w:type="dxa"/>
            <w:vAlign w:val="center"/>
          </w:tcPr>
          <w:p w:rsidR="00337458" w:rsidRDefault="00EF59B1">
            <w:pPr>
              <w:spacing w:line="340" w:lineRule="exact"/>
              <w:jc w:val="center"/>
              <w:rPr>
                <w:rFonts w:eastAsia="仿宋_GB2312" w:cs="仿宋_GB2312"/>
                <w:color w:val="000000"/>
                <w:sz w:val="20"/>
                <w:szCs w:val="20"/>
              </w:rPr>
            </w:pPr>
            <w:r>
              <w:rPr>
                <w:rFonts w:eastAsia="仿宋_GB2312" w:cs="仿宋_GB2312" w:hint="eastAsia"/>
                <w:color w:val="000000"/>
                <w:sz w:val="20"/>
                <w:szCs w:val="20"/>
              </w:rPr>
              <w:t>《期货交易管理条例》</w:t>
            </w:r>
          </w:p>
          <w:p w:rsidR="00337458" w:rsidRDefault="00EF59B1">
            <w:pPr>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《国务院关于第六批取消和调整行政审批项目的决定》（国发〔</w:t>
            </w:r>
            <w:r>
              <w:rPr>
                <w:rFonts w:eastAsia="仿宋_GB2312" w:cs="仿宋_GB2312" w:hint="eastAsia"/>
                <w:color w:val="000000"/>
                <w:sz w:val="20"/>
                <w:szCs w:val="20"/>
              </w:rPr>
              <w:t>2012</w:t>
            </w:r>
            <w:r>
              <w:rPr>
                <w:rFonts w:eastAsia="仿宋_GB2312" w:cs="仿宋_GB2312" w:hint="eastAsia"/>
                <w:color w:val="000000"/>
                <w:sz w:val="20"/>
                <w:szCs w:val="20"/>
              </w:rPr>
              <w:t>〕</w:t>
            </w:r>
            <w:r>
              <w:rPr>
                <w:rFonts w:eastAsia="仿宋_GB2312" w:cs="仿宋_GB2312" w:hint="eastAsia"/>
                <w:color w:val="000000"/>
                <w:sz w:val="20"/>
                <w:szCs w:val="20"/>
              </w:rPr>
              <w:t>52</w:t>
            </w:r>
            <w:r>
              <w:rPr>
                <w:rFonts w:eastAsia="仿宋_GB2312" w:cs="仿宋_GB2312" w:hint="eastAsia"/>
                <w:color w:val="000000"/>
                <w:sz w:val="20"/>
                <w:szCs w:val="20"/>
              </w:rPr>
              <w:t>号）</w:t>
            </w:r>
          </w:p>
        </w:tc>
      </w:tr>
      <w:tr w:rsidR="00337458">
        <w:trPr>
          <w:cantSplit/>
          <w:trHeight w:val="589"/>
          <w:jc w:val="center"/>
        </w:trPr>
        <w:tc>
          <w:tcPr>
            <w:tcW w:w="552" w:type="dxa"/>
            <w:vAlign w:val="center"/>
          </w:tcPr>
          <w:p w:rsidR="00337458" w:rsidRDefault="00EF59B1">
            <w:pPr>
              <w:jc w:val="center"/>
              <w:rPr>
                <w:rFonts w:eastAsia="仿宋_GB2312" w:cs="仿宋_GB2312"/>
                <w:color w:val="000000"/>
                <w:sz w:val="20"/>
                <w:szCs w:val="20"/>
              </w:rPr>
            </w:pPr>
            <w:r>
              <w:rPr>
                <w:rFonts w:eastAsia="仿宋_GB2312" w:cs="仿宋_GB2312" w:hint="eastAsia"/>
                <w:color w:val="000000"/>
                <w:sz w:val="20"/>
                <w:szCs w:val="20"/>
              </w:rPr>
              <w:t>18</w:t>
            </w:r>
          </w:p>
        </w:tc>
        <w:tc>
          <w:tcPr>
            <w:tcW w:w="3255"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期货公司合并、分立、解散或者破产、变更业务范围、变更注册资本且调整股权结构、新增持有</w:t>
            </w:r>
            <w:r>
              <w:rPr>
                <w:rFonts w:eastAsia="仿宋_GB2312" w:cs="仿宋_GB2312" w:hint="eastAsia"/>
                <w:color w:val="000000"/>
                <w:sz w:val="20"/>
                <w:szCs w:val="20"/>
              </w:rPr>
              <w:t>5%</w:t>
            </w:r>
            <w:r>
              <w:rPr>
                <w:rFonts w:eastAsia="仿宋_GB2312" w:cs="仿宋_GB2312" w:hint="eastAsia"/>
                <w:color w:val="000000"/>
                <w:sz w:val="20"/>
                <w:szCs w:val="20"/>
              </w:rPr>
              <w:t>以上股权的股东或者控股股东发生变化审批</w:t>
            </w:r>
          </w:p>
        </w:tc>
        <w:tc>
          <w:tcPr>
            <w:tcW w:w="1920" w:type="dxa"/>
            <w:vAlign w:val="center"/>
          </w:tcPr>
          <w:p w:rsidR="00337458" w:rsidRDefault="00EF59B1">
            <w:pPr>
              <w:pStyle w:val="New"/>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中国证券监督管理委员会及其派出</w:t>
            </w:r>
          </w:p>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机构</w:t>
            </w:r>
          </w:p>
        </w:tc>
        <w:tc>
          <w:tcPr>
            <w:tcW w:w="4005" w:type="dxa"/>
            <w:vAlign w:val="center"/>
          </w:tcPr>
          <w:p w:rsidR="00337458" w:rsidRDefault="00EF59B1">
            <w:pPr>
              <w:spacing w:line="340" w:lineRule="exact"/>
              <w:jc w:val="center"/>
              <w:rPr>
                <w:rFonts w:eastAsia="仿宋_GB2312" w:cs="仿宋_GB2312"/>
                <w:color w:val="000000"/>
                <w:sz w:val="20"/>
                <w:szCs w:val="20"/>
              </w:rPr>
            </w:pPr>
            <w:r>
              <w:rPr>
                <w:rFonts w:eastAsia="仿宋_GB2312" w:cs="仿宋_GB2312" w:hint="eastAsia"/>
                <w:color w:val="000000"/>
                <w:sz w:val="20"/>
                <w:szCs w:val="20"/>
              </w:rPr>
              <w:t>《期货交易管理条例》</w:t>
            </w:r>
          </w:p>
          <w:p w:rsidR="00337458" w:rsidRDefault="00EF59B1">
            <w:pPr>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《国务院关于第六批取消和调整行政审批项目的决定》（国发〔</w:t>
            </w:r>
            <w:r>
              <w:rPr>
                <w:rFonts w:eastAsia="仿宋_GB2312" w:cs="仿宋_GB2312" w:hint="eastAsia"/>
                <w:color w:val="000000"/>
                <w:sz w:val="20"/>
                <w:szCs w:val="20"/>
              </w:rPr>
              <w:t>2012</w:t>
            </w:r>
            <w:r>
              <w:rPr>
                <w:rFonts w:eastAsia="仿宋_GB2312" w:cs="仿宋_GB2312" w:hint="eastAsia"/>
                <w:color w:val="000000"/>
                <w:sz w:val="20"/>
                <w:szCs w:val="20"/>
              </w:rPr>
              <w:t>〕</w:t>
            </w:r>
            <w:r>
              <w:rPr>
                <w:rFonts w:eastAsia="仿宋_GB2312" w:cs="仿宋_GB2312" w:hint="eastAsia"/>
                <w:color w:val="000000"/>
                <w:sz w:val="20"/>
                <w:szCs w:val="20"/>
              </w:rPr>
              <w:t>52</w:t>
            </w:r>
            <w:r>
              <w:rPr>
                <w:rFonts w:eastAsia="仿宋_GB2312" w:cs="仿宋_GB2312" w:hint="eastAsia"/>
                <w:color w:val="000000"/>
                <w:sz w:val="20"/>
                <w:szCs w:val="20"/>
              </w:rPr>
              <w:t>号）</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lastRenderedPageBreak/>
              <w:t>19</w:t>
            </w:r>
          </w:p>
        </w:tc>
        <w:tc>
          <w:tcPr>
            <w:tcW w:w="3255" w:type="dxa"/>
            <w:vAlign w:val="center"/>
          </w:tcPr>
          <w:p w:rsidR="00337458" w:rsidRDefault="00EF59B1">
            <w:pPr>
              <w:spacing w:line="340" w:lineRule="exact"/>
              <w:jc w:val="center"/>
              <w:rPr>
                <w:rFonts w:eastAsia="仿宋_GB2312" w:cs="仿宋_GB2312"/>
                <w:color w:val="000000"/>
                <w:sz w:val="20"/>
                <w:szCs w:val="20"/>
              </w:rPr>
            </w:pPr>
            <w:r>
              <w:rPr>
                <w:rFonts w:eastAsia="仿宋_GB2312" w:cs="仿宋_GB2312" w:hint="eastAsia"/>
                <w:color w:val="000000"/>
                <w:sz w:val="20"/>
                <w:szCs w:val="20"/>
              </w:rPr>
              <w:t>外国证券类机构驻华代表机构名称变更核准</w:t>
            </w:r>
          </w:p>
        </w:tc>
        <w:tc>
          <w:tcPr>
            <w:tcW w:w="1920" w:type="dxa"/>
            <w:vAlign w:val="center"/>
          </w:tcPr>
          <w:p w:rsidR="00337458" w:rsidRDefault="00EF59B1">
            <w:pPr>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中国证券监督管理委员会及其派出机构</w:t>
            </w:r>
          </w:p>
        </w:tc>
        <w:tc>
          <w:tcPr>
            <w:tcW w:w="4005" w:type="dxa"/>
            <w:vAlign w:val="center"/>
          </w:tcPr>
          <w:p w:rsidR="00337458" w:rsidRDefault="00EF59B1">
            <w:pPr>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《国务院对确需保留的行政审批项目设定行政许可的决定》（国务院令第</w:t>
            </w:r>
            <w:r>
              <w:rPr>
                <w:rFonts w:eastAsia="仿宋_GB2312" w:cs="仿宋_GB2312" w:hint="eastAsia"/>
                <w:color w:val="000000"/>
                <w:sz w:val="20"/>
                <w:szCs w:val="20"/>
              </w:rPr>
              <w:t>412</w:t>
            </w:r>
            <w:r>
              <w:rPr>
                <w:rFonts w:eastAsia="仿宋_GB2312" w:cs="仿宋_GB2312" w:hint="eastAsia"/>
                <w:color w:val="000000"/>
                <w:sz w:val="20"/>
                <w:szCs w:val="20"/>
              </w:rPr>
              <w:t>号）</w:t>
            </w:r>
          </w:p>
          <w:p w:rsidR="00337458" w:rsidRDefault="00EF59B1">
            <w:pPr>
              <w:widowControl/>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《外国企业常驻代表机构登记管理条例》</w:t>
            </w:r>
          </w:p>
          <w:p w:rsidR="00337458" w:rsidRDefault="00EF59B1">
            <w:pPr>
              <w:widowControl/>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《证券公司监督管理条例》</w:t>
            </w:r>
          </w:p>
          <w:p w:rsidR="00337458" w:rsidRDefault="00EF59B1">
            <w:pPr>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《国务院关于管理外国企业常驻代表机构的暂行规定》（国发〔</w:t>
            </w:r>
            <w:r>
              <w:rPr>
                <w:rFonts w:eastAsia="仿宋_GB2312" w:cs="仿宋_GB2312" w:hint="eastAsia"/>
                <w:color w:val="000000"/>
                <w:sz w:val="20"/>
                <w:szCs w:val="20"/>
              </w:rPr>
              <w:t>1980</w:t>
            </w:r>
            <w:r>
              <w:rPr>
                <w:rFonts w:eastAsia="仿宋_GB2312" w:cs="仿宋_GB2312" w:hint="eastAsia"/>
                <w:color w:val="000000"/>
                <w:sz w:val="20"/>
                <w:szCs w:val="20"/>
              </w:rPr>
              <w:t>〕</w:t>
            </w:r>
            <w:r>
              <w:rPr>
                <w:rFonts w:eastAsia="仿宋_GB2312" w:cs="仿宋_GB2312" w:hint="eastAsia"/>
                <w:color w:val="000000"/>
                <w:sz w:val="20"/>
                <w:szCs w:val="20"/>
              </w:rPr>
              <w:t>272</w:t>
            </w:r>
            <w:r>
              <w:rPr>
                <w:rFonts w:eastAsia="仿宋_GB2312" w:cs="仿宋_GB2312" w:hint="eastAsia"/>
                <w:color w:val="000000"/>
                <w:sz w:val="20"/>
                <w:szCs w:val="20"/>
              </w:rPr>
              <w:t>号）</w:t>
            </w:r>
          </w:p>
          <w:p w:rsidR="00337458" w:rsidRDefault="00EF59B1">
            <w:pPr>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《国务院关于第四批取消和调整行政审批项目的决定》（国发〔</w:t>
            </w:r>
            <w:r>
              <w:rPr>
                <w:rFonts w:eastAsia="仿宋_GB2312" w:cs="仿宋_GB2312" w:hint="eastAsia"/>
                <w:color w:val="000000"/>
                <w:sz w:val="20"/>
                <w:szCs w:val="20"/>
              </w:rPr>
              <w:t>2007</w:t>
            </w:r>
            <w:r>
              <w:rPr>
                <w:rFonts w:eastAsia="仿宋_GB2312" w:cs="仿宋_GB2312" w:hint="eastAsia"/>
                <w:color w:val="000000"/>
                <w:sz w:val="20"/>
                <w:szCs w:val="20"/>
              </w:rPr>
              <w:t>〕</w:t>
            </w:r>
            <w:r>
              <w:rPr>
                <w:rFonts w:eastAsia="仿宋_GB2312" w:cs="仿宋_GB2312" w:hint="eastAsia"/>
                <w:color w:val="000000"/>
                <w:sz w:val="20"/>
                <w:szCs w:val="20"/>
              </w:rPr>
              <w:t>33</w:t>
            </w:r>
            <w:r>
              <w:rPr>
                <w:rFonts w:eastAsia="仿宋_GB2312" w:cs="仿宋_GB2312" w:hint="eastAsia"/>
                <w:color w:val="000000"/>
                <w:sz w:val="20"/>
                <w:szCs w:val="20"/>
              </w:rPr>
              <w:t>号）</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20</w:t>
            </w:r>
          </w:p>
        </w:tc>
        <w:tc>
          <w:tcPr>
            <w:tcW w:w="3255" w:type="dxa"/>
            <w:vAlign w:val="center"/>
          </w:tcPr>
          <w:p w:rsidR="00337458" w:rsidRDefault="00EF59B1">
            <w:pPr>
              <w:spacing w:line="340" w:lineRule="exact"/>
              <w:jc w:val="center"/>
              <w:rPr>
                <w:rFonts w:eastAsia="仿宋_GB2312" w:cs="仿宋_GB2312"/>
                <w:color w:val="000000"/>
                <w:kern w:val="0"/>
                <w:sz w:val="20"/>
                <w:szCs w:val="20"/>
              </w:rPr>
            </w:pPr>
            <w:r>
              <w:rPr>
                <w:rFonts w:eastAsia="仿宋_GB2312" w:cs="仿宋_GB2312" w:hint="eastAsia"/>
                <w:color w:val="000000"/>
                <w:sz w:val="20"/>
                <w:szCs w:val="20"/>
              </w:rPr>
              <w:t>使用“交易所”字样的交易场所审批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sz w:val="20"/>
                <w:szCs w:val="20"/>
              </w:rPr>
              <w:t>国务院或国务院金融管理部门、省级人民政府</w:t>
            </w:r>
          </w:p>
        </w:tc>
        <w:tc>
          <w:tcPr>
            <w:tcW w:w="4005" w:type="dxa"/>
            <w:vAlign w:val="center"/>
          </w:tcPr>
          <w:p w:rsidR="00337458" w:rsidRDefault="00EF59B1">
            <w:pPr>
              <w:widowControl/>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《防范和处置非法集资条例》</w:t>
            </w:r>
          </w:p>
          <w:p w:rsidR="00337458" w:rsidRDefault="00EF59B1">
            <w:pPr>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《国务院关于清理整顿各类交易场所切实防范金融风险的决定》（国发〔</w:t>
            </w:r>
            <w:r>
              <w:rPr>
                <w:rFonts w:eastAsia="仿宋_GB2312" w:cs="仿宋_GB2312" w:hint="eastAsia"/>
                <w:color w:val="000000"/>
                <w:sz w:val="20"/>
                <w:szCs w:val="20"/>
              </w:rPr>
              <w:t>2011</w:t>
            </w:r>
            <w:r>
              <w:rPr>
                <w:rFonts w:eastAsia="仿宋_GB2312" w:cs="仿宋_GB2312" w:hint="eastAsia"/>
                <w:color w:val="000000"/>
                <w:sz w:val="20"/>
                <w:szCs w:val="20"/>
              </w:rPr>
              <w:t>〕</w:t>
            </w:r>
            <w:r>
              <w:rPr>
                <w:rFonts w:eastAsia="仿宋_GB2312" w:cs="仿宋_GB2312" w:hint="eastAsia"/>
                <w:color w:val="000000"/>
                <w:sz w:val="20"/>
                <w:szCs w:val="20"/>
              </w:rPr>
              <w:t>38</w:t>
            </w:r>
            <w:r>
              <w:rPr>
                <w:rFonts w:eastAsia="仿宋_GB2312" w:cs="仿宋_GB2312" w:hint="eastAsia"/>
                <w:color w:val="000000"/>
                <w:sz w:val="20"/>
                <w:szCs w:val="20"/>
              </w:rPr>
              <w:t>号）</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21</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从事保险、信贷、黄金等金融产品交易的交易场所审批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国务院相关金融管理部门</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《国务院关于清理整顿各类交易场所切实防范金融风险的决定》（国发〔</w:t>
            </w:r>
            <w:r>
              <w:rPr>
                <w:rFonts w:eastAsia="仿宋_GB2312" w:cs="仿宋_GB2312" w:hint="eastAsia"/>
                <w:color w:val="000000"/>
                <w:sz w:val="20"/>
                <w:szCs w:val="20"/>
              </w:rPr>
              <w:t>2011</w:t>
            </w:r>
            <w:r>
              <w:rPr>
                <w:rFonts w:eastAsia="仿宋_GB2312" w:cs="仿宋_GB2312" w:hint="eastAsia"/>
                <w:color w:val="000000"/>
                <w:sz w:val="20"/>
                <w:szCs w:val="20"/>
              </w:rPr>
              <w:t>〕</w:t>
            </w:r>
            <w:r>
              <w:rPr>
                <w:rFonts w:eastAsia="仿宋_GB2312" w:cs="仿宋_GB2312" w:hint="eastAsia"/>
                <w:color w:val="000000"/>
                <w:sz w:val="20"/>
                <w:szCs w:val="20"/>
              </w:rPr>
              <w:t>38</w:t>
            </w:r>
            <w:r>
              <w:rPr>
                <w:rFonts w:eastAsia="仿宋_GB2312" w:cs="仿宋_GB2312" w:hint="eastAsia"/>
                <w:color w:val="000000"/>
                <w:sz w:val="20"/>
                <w:szCs w:val="20"/>
              </w:rPr>
              <w:t>号）</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22</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保险公司变更名称、变更注册资本、变更公司或者分支机构的营业场所、撤销分支机构、公司分立或者合并、修改公司章程、变更出资额占有限责任公司资本总额百分之五以上的股东，或者变更持有股份有限公司股份百分之五以上的股东及保险公司终止（解散、破产）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中国银行保险监督管理委员会</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w:t>
            </w:r>
            <w:r>
              <w:rPr>
                <w:rFonts w:eastAsia="仿宋_GB2312" w:cs="仿宋_GB2312" w:hint="eastAsia"/>
                <w:color w:val="000000"/>
                <w:kern w:val="0"/>
                <w:sz w:val="20"/>
                <w:szCs w:val="20"/>
              </w:rPr>
              <w:t>中华人民共和国</w:t>
            </w:r>
            <w:r>
              <w:rPr>
                <w:rFonts w:eastAsia="仿宋_GB2312" w:cs="仿宋_GB2312" w:hint="eastAsia"/>
                <w:color w:val="000000"/>
                <w:sz w:val="20"/>
                <w:szCs w:val="20"/>
              </w:rPr>
              <w:t>保险法》</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23</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专属自保组织和相互保险组织合并、分立、变更、解散审批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中国银行保险监督管理委员会</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《国务院对确需保留的行政审批项目设定行政许可的决定》（国务院令第</w:t>
            </w:r>
            <w:r>
              <w:rPr>
                <w:rFonts w:eastAsia="仿宋_GB2312" w:cs="仿宋_GB2312" w:hint="eastAsia"/>
                <w:color w:val="000000"/>
                <w:sz w:val="20"/>
                <w:szCs w:val="20"/>
              </w:rPr>
              <w:t>412</w:t>
            </w:r>
            <w:r>
              <w:rPr>
                <w:rFonts w:eastAsia="仿宋_GB2312" w:cs="仿宋_GB2312" w:hint="eastAsia"/>
                <w:color w:val="000000"/>
                <w:sz w:val="20"/>
                <w:szCs w:val="20"/>
              </w:rPr>
              <w:t>号）</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24</w:t>
            </w:r>
          </w:p>
        </w:tc>
        <w:tc>
          <w:tcPr>
            <w:tcW w:w="3255"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保险资产管理公司重大事项变更审批。保险资产管理公司及其分支机构终止（解散、破产和分支机构撤销）审批</w:t>
            </w:r>
          </w:p>
        </w:tc>
        <w:tc>
          <w:tcPr>
            <w:tcW w:w="1920"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中国银行保险监督管理委员会</w:t>
            </w:r>
            <w:r>
              <w:rPr>
                <w:rFonts w:eastAsia="仿宋_GB2312" w:cs="仿宋_GB2312" w:hint="eastAsia"/>
                <w:color w:val="000000"/>
                <w:sz w:val="20"/>
                <w:szCs w:val="20"/>
              </w:rPr>
              <w:t>（会同</w:t>
            </w:r>
            <w:r>
              <w:rPr>
                <w:rFonts w:eastAsia="仿宋_GB2312" w:cs="仿宋_GB2312" w:hint="eastAsia"/>
                <w:color w:val="000000"/>
                <w:kern w:val="0"/>
                <w:sz w:val="20"/>
                <w:szCs w:val="20"/>
              </w:rPr>
              <w:t>中国证券监督管理委员会</w:t>
            </w:r>
            <w:r>
              <w:rPr>
                <w:rFonts w:eastAsia="仿宋_GB2312" w:cs="仿宋_GB2312" w:hint="eastAsia"/>
                <w:color w:val="000000"/>
                <w:sz w:val="20"/>
                <w:szCs w:val="20"/>
              </w:rPr>
              <w:t>）</w:t>
            </w:r>
          </w:p>
        </w:tc>
        <w:tc>
          <w:tcPr>
            <w:tcW w:w="4005" w:type="dxa"/>
            <w:vAlign w:val="center"/>
          </w:tcPr>
          <w:p w:rsidR="00337458" w:rsidRDefault="00EF59B1">
            <w:pPr>
              <w:pStyle w:val="New"/>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《国务院对确需保留的行政审批项目设定行政许可的决定》（国务院令第</w:t>
            </w:r>
            <w:r>
              <w:rPr>
                <w:rFonts w:eastAsia="仿宋_GB2312" w:cs="仿宋_GB2312" w:hint="eastAsia"/>
                <w:color w:val="000000"/>
                <w:sz w:val="20"/>
                <w:szCs w:val="20"/>
              </w:rPr>
              <w:t>412</w:t>
            </w:r>
            <w:r>
              <w:rPr>
                <w:rFonts w:eastAsia="仿宋_GB2312" w:cs="仿宋_GB2312" w:hint="eastAsia"/>
                <w:color w:val="000000"/>
                <w:sz w:val="20"/>
                <w:szCs w:val="20"/>
              </w:rPr>
              <w:t>号）</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25</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保险集团公司及保险控股公司合并、分立、变更、解散审批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中国银行保险监督管理委员会</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《国务院对确需保留的行政审批项目设定行政许可的决定》（国务院令第</w:t>
            </w:r>
            <w:r>
              <w:rPr>
                <w:rFonts w:eastAsia="仿宋_GB2312" w:cs="仿宋_GB2312" w:hint="eastAsia"/>
                <w:color w:val="000000"/>
                <w:sz w:val="20"/>
                <w:szCs w:val="20"/>
              </w:rPr>
              <w:t>412</w:t>
            </w:r>
            <w:r>
              <w:rPr>
                <w:rFonts w:eastAsia="仿宋_GB2312" w:cs="仿宋_GB2312" w:hint="eastAsia"/>
                <w:color w:val="000000"/>
                <w:sz w:val="20"/>
                <w:szCs w:val="20"/>
              </w:rPr>
              <w:t>号）</w:t>
            </w:r>
          </w:p>
        </w:tc>
      </w:tr>
      <w:tr w:rsidR="00337458">
        <w:trPr>
          <w:cantSplit/>
          <w:trHeight w:val="589"/>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lastRenderedPageBreak/>
              <w:t>26</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外国保险机构驻华代表机构重大事项变更审批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中国银行保险监督管理委员会</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《国务院对确需保留的行政审批项目设定行政许可的决定》（国务院令第</w:t>
            </w:r>
            <w:r>
              <w:rPr>
                <w:rFonts w:eastAsia="仿宋_GB2312" w:cs="仿宋_GB2312" w:hint="eastAsia"/>
                <w:color w:val="000000"/>
                <w:sz w:val="20"/>
                <w:szCs w:val="20"/>
              </w:rPr>
              <w:t>412</w:t>
            </w:r>
            <w:r>
              <w:rPr>
                <w:rFonts w:eastAsia="仿宋_GB2312" w:cs="仿宋_GB2312" w:hint="eastAsia"/>
                <w:color w:val="000000"/>
                <w:sz w:val="20"/>
                <w:szCs w:val="20"/>
              </w:rPr>
              <w:t>号）</w:t>
            </w:r>
          </w:p>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《外国企业常驻代表机构登记管理条例》</w:t>
            </w:r>
          </w:p>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《国务院关于管理外国企业常驻代表机构的暂行规定》（国发〔</w:t>
            </w:r>
            <w:r>
              <w:rPr>
                <w:rFonts w:eastAsia="仿宋_GB2312" w:cs="仿宋_GB2312" w:hint="eastAsia"/>
                <w:color w:val="000000"/>
                <w:kern w:val="0"/>
                <w:sz w:val="20"/>
                <w:szCs w:val="20"/>
              </w:rPr>
              <w:t>1980</w:t>
            </w:r>
            <w:r>
              <w:rPr>
                <w:rFonts w:eastAsia="仿宋_GB2312" w:cs="仿宋_GB2312" w:hint="eastAsia"/>
                <w:color w:val="000000"/>
                <w:kern w:val="0"/>
                <w:sz w:val="20"/>
                <w:szCs w:val="20"/>
              </w:rPr>
              <w:t>〕</w:t>
            </w:r>
            <w:r>
              <w:rPr>
                <w:rFonts w:eastAsia="仿宋_GB2312" w:cs="仿宋_GB2312" w:hint="eastAsia"/>
                <w:color w:val="000000"/>
                <w:kern w:val="0"/>
                <w:sz w:val="20"/>
                <w:szCs w:val="20"/>
              </w:rPr>
              <w:t>272</w:t>
            </w:r>
            <w:r>
              <w:rPr>
                <w:rFonts w:eastAsia="仿宋_GB2312" w:cs="仿宋_GB2312" w:hint="eastAsia"/>
                <w:color w:val="000000"/>
                <w:kern w:val="0"/>
                <w:sz w:val="20"/>
                <w:szCs w:val="20"/>
              </w:rPr>
              <w:t>号）</w:t>
            </w:r>
          </w:p>
        </w:tc>
      </w:tr>
      <w:tr w:rsidR="00337458">
        <w:trPr>
          <w:cantSplit/>
          <w:trHeight w:val="510"/>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27</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烟草制品生产企业分立、合并、撤销的审批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国家烟草专卖局</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《中华人民共和国烟草专卖法》</w:t>
            </w:r>
          </w:p>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sz w:val="20"/>
                <w:szCs w:val="20"/>
              </w:rPr>
              <w:t>《烟草专卖法实施条例》</w:t>
            </w:r>
          </w:p>
        </w:tc>
      </w:tr>
      <w:tr w:rsidR="00337458">
        <w:trPr>
          <w:cantSplit/>
          <w:trHeight w:val="510"/>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28</w:t>
            </w:r>
          </w:p>
        </w:tc>
        <w:tc>
          <w:tcPr>
            <w:tcW w:w="325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营利性民办学校</w:t>
            </w:r>
            <w:r>
              <w:rPr>
                <w:rFonts w:eastAsia="仿宋_GB2312" w:cs="仿宋_GB2312" w:hint="eastAsia"/>
                <w:color w:val="000000"/>
                <w:kern w:val="0"/>
                <w:sz w:val="20"/>
                <w:szCs w:val="20"/>
              </w:rPr>
              <w:t>(</w:t>
            </w:r>
            <w:r>
              <w:rPr>
                <w:rFonts w:eastAsia="仿宋_GB2312" w:cs="仿宋_GB2312" w:hint="eastAsia"/>
                <w:color w:val="000000"/>
                <w:kern w:val="0"/>
                <w:sz w:val="20"/>
                <w:szCs w:val="20"/>
              </w:rPr>
              <w:t>营利性民办培训机构</w:t>
            </w:r>
            <w:r>
              <w:rPr>
                <w:rFonts w:eastAsia="仿宋_GB2312" w:cs="仿宋_GB2312" w:hint="eastAsia"/>
                <w:color w:val="000000"/>
                <w:kern w:val="0"/>
                <w:sz w:val="20"/>
                <w:szCs w:val="20"/>
              </w:rPr>
              <w:t>)</w:t>
            </w:r>
            <w:r>
              <w:rPr>
                <w:rFonts w:eastAsia="仿宋_GB2312" w:cs="仿宋_GB2312" w:hint="eastAsia"/>
                <w:color w:val="000000"/>
                <w:sz w:val="18"/>
                <w:szCs w:val="18"/>
              </w:rPr>
              <w:t xml:space="preserve"> </w:t>
            </w:r>
            <w:r>
              <w:rPr>
                <w:rFonts w:eastAsia="仿宋_GB2312" w:cs="仿宋_GB2312" w:hint="eastAsia"/>
                <w:color w:val="000000"/>
                <w:kern w:val="0"/>
                <w:sz w:val="20"/>
                <w:szCs w:val="20"/>
              </w:rPr>
              <w:t>名称、层次、类别的变更，分立，合并，终止</w:t>
            </w:r>
            <w:bookmarkStart w:id="1" w:name="_GoBack"/>
            <w:bookmarkEnd w:id="1"/>
          </w:p>
        </w:tc>
        <w:tc>
          <w:tcPr>
            <w:tcW w:w="1920" w:type="dxa"/>
            <w:vAlign w:val="center"/>
          </w:tcPr>
          <w:p w:rsidR="00337458" w:rsidRDefault="00EF59B1">
            <w:pPr>
              <w:adjustRightInd w:val="0"/>
              <w:snapToGrid w:val="0"/>
              <w:spacing w:line="340" w:lineRule="exact"/>
              <w:rPr>
                <w:rFonts w:eastAsia="仿宋_GB2312" w:cs="仿宋_GB2312"/>
                <w:color w:val="000000"/>
                <w:sz w:val="20"/>
                <w:szCs w:val="20"/>
              </w:rPr>
            </w:pPr>
            <w:r>
              <w:rPr>
                <w:rFonts w:eastAsia="仿宋_GB2312" w:cs="仿宋_GB2312" w:hint="eastAsia"/>
                <w:color w:val="000000"/>
                <w:kern w:val="0"/>
                <w:sz w:val="20"/>
                <w:szCs w:val="20"/>
              </w:rPr>
              <w:t>县级以上人民政府教育行政部门、县级以上人民政府人力资源社会保障部门</w:t>
            </w:r>
          </w:p>
        </w:tc>
        <w:tc>
          <w:tcPr>
            <w:tcW w:w="4005" w:type="dxa"/>
            <w:vAlign w:val="center"/>
          </w:tcPr>
          <w:p w:rsidR="00337458" w:rsidRDefault="00EF59B1">
            <w:pPr>
              <w:adjustRightInd w:val="0"/>
              <w:snapToGrid w:val="0"/>
              <w:spacing w:line="340" w:lineRule="exact"/>
              <w:jc w:val="center"/>
              <w:rPr>
                <w:rFonts w:eastAsia="仿宋_GB2312" w:cs="仿宋_GB2312"/>
                <w:color w:val="000000"/>
                <w:sz w:val="20"/>
                <w:szCs w:val="20"/>
              </w:rPr>
            </w:pPr>
            <w:r>
              <w:rPr>
                <w:rFonts w:eastAsia="仿宋_GB2312" w:cs="仿宋_GB2312" w:hint="eastAsia"/>
                <w:color w:val="000000"/>
                <w:kern w:val="0"/>
                <w:sz w:val="20"/>
                <w:szCs w:val="20"/>
              </w:rPr>
              <w:t>《中华人民共和国民办教育促进法》</w:t>
            </w:r>
          </w:p>
        </w:tc>
      </w:tr>
      <w:tr w:rsidR="00337458">
        <w:trPr>
          <w:cantSplit/>
          <w:trHeight w:val="510"/>
          <w:jc w:val="center"/>
        </w:trPr>
        <w:tc>
          <w:tcPr>
            <w:tcW w:w="552" w:type="dxa"/>
            <w:vAlign w:val="center"/>
          </w:tcPr>
          <w:p w:rsidR="00337458" w:rsidRDefault="00EF59B1">
            <w:pPr>
              <w:adjustRightInd w:val="0"/>
              <w:snapToGrid w:val="0"/>
              <w:spacing w:line="320" w:lineRule="exact"/>
              <w:jc w:val="center"/>
              <w:rPr>
                <w:rFonts w:eastAsia="仿宋_GB2312" w:cs="仿宋_GB2312"/>
                <w:color w:val="000000"/>
                <w:sz w:val="20"/>
                <w:szCs w:val="20"/>
              </w:rPr>
            </w:pPr>
            <w:r>
              <w:rPr>
                <w:rFonts w:eastAsia="仿宋_GB2312" w:cs="仿宋_GB2312" w:hint="eastAsia"/>
                <w:color w:val="000000"/>
                <w:sz w:val="20"/>
                <w:szCs w:val="20"/>
              </w:rPr>
              <w:t>29</w:t>
            </w:r>
          </w:p>
        </w:tc>
        <w:tc>
          <w:tcPr>
            <w:tcW w:w="3255" w:type="dxa"/>
            <w:vAlign w:val="center"/>
          </w:tcPr>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金融控股公司变更名称、住所、注册资本、持有</w:t>
            </w:r>
            <w:r>
              <w:rPr>
                <w:rFonts w:eastAsia="仿宋_GB2312" w:cs="仿宋_GB2312" w:hint="eastAsia"/>
                <w:color w:val="000000"/>
                <w:kern w:val="0"/>
                <w:sz w:val="20"/>
                <w:szCs w:val="20"/>
              </w:rPr>
              <w:t>5%</w:t>
            </w:r>
            <w:r>
              <w:rPr>
                <w:rFonts w:eastAsia="仿宋_GB2312" w:cs="仿宋_GB2312" w:hint="eastAsia"/>
                <w:color w:val="000000"/>
                <w:kern w:val="0"/>
                <w:sz w:val="20"/>
                <w:szCs w:val="20"/>
              </w:rPr>
              <w:t>以上股权的股东、实际控制人，修改公司章程，投资控股其他金融机构，增加或者减少对所控股金融机构的出资或者持股比例导致控制权变</w:t>
            </w:r>
            <w:proofErr w:type="gramStart"/>
            <w:r>
              <w:rPr>
                <w:rFonts w:eastAsia="仿宋_GB2312" w:cs="仿宋_GB2312" w:hint="eastAsia"/>
                <w:color w:val="000000"/>
                <w:kern w:val="0"/>
                <w:sz w:val="20"/>
                <w:szCs w:val="20"/>
              </w:rPr>
              <w:t>更或者</w:t>
            </w:r>
            <w:proofErr w:type="gramEnd"/>
            <w:r>
              <w:rPr>
                <w:rFonts w:eastAsia="仿宋_GB2312" w:cs="仿宋_GB2312" w:hint="eastAsia"/>
                <w:color w:val="000000"/>
                <w:kern w:val="0"/>
                <w:sz w:val="20"/>
                <w:szCs w:val="20"/>
              </w:rPr>
              <w:t>丧失，分立、合并、解散或者破产审批</w:t>
            </w:r>
          </w:p>
        </w:tc>
        <w:tc>
          <w:tcPr>
            <w:tcW w:w="1920" w:type="dxa"/>
            <w:vAlign w:val="center"/>
          </w:tcPr>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中国人民银行</w:t>
            </w:r>
          </w:p>
        </w:tc>
        <w:tc>
          <w:tcPr>
            <w:tcW w:w="4005" w:type="dxa"/>
            <w:vAlign w:val="center"/>
          </w:tcPr>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《国务院关于实施金融控股公司准入管理的决定》（国发〔</w:t>
            </w:r>
            <w:r>
              <w:rPr>
                <w:rFonts w:eastAsia="仿宋_GB2312" w:cs="仿宋_GB2312" w:hint="eastAsia"/>
                <w:color w:val="000000"/>
                <w:kern w:val="0"/>
                <w:sz w:val="20"/>
                <w:szCs w:val="20"/>
              </w:rPr>
              <w:t>2020</w:t>
            </w:r>
            <w:r>
              <w:rPr>
                <w:rFonts w:eastAsia="仿宋_GB2312" w:cs="仿宋_GB2312" w:hint="eastAsia"/>
                <w:color w:val="000000"/>
                <w:kern w:val="0"/>
                <w:sz w:val="20"/>
                <w:szCs w:val="20"/>
              </w:rPr>
              <w:t>〕</w:t>
            </w:r>
            <w:r>
              <w:rPr>
                <w:rFonts w:eastAsia="仿宋_GB2312" w:cs="仿宋_GB2312" w:hint="eastAsia"/>
                <w:color w:val="000000"/>
                <w:kern w:val="0"/>
                <w:sz w:val="20"/>
                <w:szCs w:val="20"/>
              </w:rPr>
              <w:t>12</w:t>
            </w:r>
            <w:r>
              <w:rPr>
                <w:rFonts w:eastAsia="仿宋_GB2312" w:cs="仿宋_GB2312" w:hint="eastAsia"/>
                <w:color w:val="000000"/>
                <w:kern w:val="0"/>
                <w:sz w:val="20"/>
                <w:szCs w:val="20"/>
              </w:rPr>
              <w:t>号）</w:t>
            </w:r>
          </w:p>
          <w:p w:rsidR="00337458" w:rsidRDefault="00EF59B1">
            <w:pPr>
              <w:adjustRightInd w:val="0"/>
              <w:snapToGrid w:val="0"/>
              <w:spacing w:line="340" w:lineRule="exact"/>
              <w:jc w:val="center"/>
              <w:rPr>
                <w:rFonts w:eastAsia="仿宋_GB2312" w:cs="仿宋_GB2312"/>
                <w:color w:val="000000"/>
                <w:kern w:val="0"/>
                <w:sz w:val="20"/>
                <w:szCs w:val="20"/>
              </w:rPr>
            </w:pPr>
            <w:r>
              <w:rPr>
                <w:rFonts w:eastAsia="仿宋_GB2312" w:cs="仿宋_GB2312" w:hint="eastAsia"/>
                <w:color w:val="000000"/>
                <w:kern w:val="0"/>
                <w:sz w:val="20"/>
                <w:szCs w:val="20"/>
              </w:rPr>
              <w:t>《金融控股公司监督管理试行办法》</w:t>
            </w:r>
          </w:p>
        </w:tc>
      </w:tr>
      <w:tr w:rsidR="00337458">
        <w:trPr>
          <w:cantSplit/>
          <w:trHeight w:val="935"/>
          <w:jc w:val="center"/>
        </w:trPr>
        <w:tc>
          <w:tcPr>
            <w:tcW w:w="9732" w:type="dxa"/>
            <w:gridSpan w:val="4"/>
            <w:vAlign w:val="center"/>
          </w:tcPr>
          <w:p w:rsidR="00337458" w:rsidRDefault="00EF59B1">
            <w:pPr>
              <w:ind w:leftChars="-1" w:left="-2" w:firstLineChars="103" w:firstLine="220"/>
              <w:jc w:val="center"/>
              <w:rPr>
                <w:color w:val="000000"/>
                <w:sz w:val="22"/>
                <w:szCs w:val="20"/>
              </w:rPr>
            </w:pPr>
            <w:r>
              <w:rPr>
                <w:rFonts w:eastAsia="仿宋_GB2312" w:cs="仿宋_GB2312" w:hint="eastAsia"/>
                <w:color w:val="000000"/>
                <w:sz w:val="22"/>
                <w:szCs w:val="20"/>
              </w:rPr>
              <w:t>注：以上前置审批事项，涉及企业登记事项的，凭审批文件办理变更、注销登记。</w:t>
            </w:r>
          </w:p>
        </w:tc>
      </w:tr>
      <w:bookmarkEnd w:id="0"/>
    </w:tbl>
    <w:p w:rsidR="00337458" w:rsidRDefault="00337458">
      <w:pPr>
        <w:spacing w:line="14" w:lineRule="exact"/>
      </w:pPr>
    </w:p>
    <w:sectPr w:rsidR="00337458" w:rsidSect="00337458">
      <w:footerReference w:type="even" r:id="rId7"/>
      <w:footerReference w:type="default" r:id="rId8"/>
      <w:pgSz w:w="11906" w:h="16838"/>
      <w:pgMar w:top="1984" w:right="1474" w:bottom="1644" w:left="1474" w:header="851" w:footer="1191" w:gutter="0"/>
      <w:pgNumType w:fmt="numberInDash"/>
      <w:cols w:space="720"/>
      <w:docGrid w:type="linesAndChars" w:linePitch="287" w:charSpace="-1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84A" w:rsidRDefault="007E684A" w:rsidP="00337458">
      <w:r>
        <w:separator/>
      </w:r>
    </w:p>
  </w:endnote>
  <w:endnote w:type="continuationSeparator" w:id="0">
    <w:p w:rsidR="007E684A" w:rsidRDefault="007E684A" w:rsidP="003374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方正小标宋简体">
    <w:altName w:val="黑体"/>
    <w:charset w:val="86"/>
    <w:family w:val="auto"/>
    <w:pitch w:val="default"/>
    <w:sig w:usb0="00000000" w:usb1="00000000" w:usb2="00000000" w:usb3="00000000" w:csb0="00040000" w:csb1="00000000"/>
  </w:font>
  <w:font w:name="楷体_GB2312">
    <w:altName w:val="楷体"/>
    <w:charset w:val="86"/>
    <w:family w:val="auto"/>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458" w:rsidRDefault="00EF59B1">
    <w:pPr>
      <w:pStyle w:val="a3"/>
      <w:framePr w:wrap="around" w:vAnchor="page" w:hAnchor="page" w:x="1832" w:y="15280"/>
      <w:ind w:left="210" w:hangingChars="75" w:hanging="210"/>
      <w:rPr>
        <w:rStyle w:val="a5"/>
        <w:rFonts w:ascii="宋体" w:hAnsi="宋体"/>
        <w:sz w:val="28"/>
        <w:szCs w:val="28"/>
      </w:rPr>
    </w:pPr>
    <w:r>
      <w:rPr>
        <w:rStyle w:val="a5"/>
        <w:rFonts w:ascii="宋体" w:hAnsi="宋体" w:hint="eastAsia"/>
        <w:sz w:val="28"/>
        <w:szCs w:val="28"/>
      </w:rPr>
      <w:t xml:space="preserve">— </w:t>
    </w:r>
    <w:r w:rsidR="00D72B04">
      <w:rPr>
        <w:rFonts w:ascii="宋体" w:hAnsi="宋体"/>
        <w:sz w:val="28"/>
        <w:szCs w:val="28"/>
      </w:rPr>
      <w:fldChar w:fldCharType="begin"/>
    </w:r>
    <w:r>
      <w:rPr>
        <w:rStyle w:val="a5"/>
        <w:rFonts w:ascii="宋体" w:hAnsi="宋体"/>
        <w:sz w:val="28"/>
        <w:szCs w:val="28"/>
      </w:rPr>
      <w:instrText xml:space="preserve"> PAGE  \* Arabic </w:instrText>
    </w:r>
    <w:r w:rsidR="00D72B04">
      <w:rPr>
        <w:rFonts w:ascii="宋体" w:hAnsi="宋体"/>
        <w:sz w:val="28"/>
        <w:szCs w:val="28"/>
      </w:rPr>
      <w:fldChar w:fldCharType="separate"/>
    </w:r>
    <w:r w:rsidR="007A1E6B">
      <w:rPr>
        <w:rStyle w:val="a5"/>
        <w:rFonts w:ascii="宋体" w:hAnsi="宋体"/>
        <w:noProof/>
        <w:sz w:val="28"/>
        <w:szCs w:val="28"/>
      </w:rPr>
      <w:t>2</w:t>
    </w:r>
    <w:r w:rsidR="00D72B04">
      <w:rPr>
        <w:rFonts w:ascii="宋体" w:hAnsi="宋体"/>
        <w:sz w:val="28"/>
        <w:szCs w:val="28"/>
      </w:rPr>
      <w:fldChar w:fldCharType="end"/>
    </w:r>
    <w:r>
      <w:rPr>
        <w:rStyle w:val="a5"/>
        <w:rFonts w:ascii="宋体" w:hAnsi="宋体" w:hint="eastAsia"/>
        <w:sz w:val="28"/>
        <w:szCs w:val="28"/>
      </w:rPr>
      <w:t xml:space="preserve"> —</w:t>
    </w:r>
  </w:p>
  <w:p w:rsidR="00337458" w:rsidRDefault="00337458">
    <w:pPr>
      <w:pStyle w:val="a3"/>
      <w:spacing w:line="20" w:lineRule="exact"/>
      <w:ind w:right="35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458" w:rsidRDefault="00EF59B1">
    <w:pPr>
      <w:pStyle w:val="a3"/>
      <w:framePr w:wrap="around" w:vAnchor="page" w:hAnchor="page" w:x="9134" w:y="15280"/>
      <w:ind w:rightChars="-14" w:right="-29"/>
      <w:rPr>
        <w:rStyle w:val="a5"/>
        <w:rFonts w:ascii="宋体" w:hAnsi="宋体"/>
        <w:sz w:val="28"/>
        <w:szCs w:val="28"/>
      </w:rPr>
    </w:pPr>
    <w:r>
      <w:rPr>
        <w:rStyle w:val="a5"/>
        <w:rFonts w:ascii="宋体" w:hAnsi="宋体" w:hint="eastAsia"/>
        <w:sz w:val="28"/>
        <w:szCs w:val="28"/>
      </w:rPr>
      <w:t xml:space="preserve">— </w:t>
    </w:r>
    <w:r w:rsidR="00D72B04">
      <w:rPr>
        <w:rFonts w:ascii="宋体" w:hAnsi="宋体"/>
        <w:sz w:val="28"/>
        <w:szCs w:val="28"/>
      </w:rPr>
      <w:fldChar w:fldCharType="begin"/>
    </w:r>
    <w:r>
      <w:rPr>
        <w:rStyle w:val="a5"/>
        <w:rFonts w:ascii="宋体" w:hAnsi="宋体"/>
        <w:sz w:val="28"/>
        <w:szCs w:val="28"/>
      </w:rPr>
      <w:instrText xml:space="preserve"> PAGE  \* Arabic </w:instrText>
    </w:r>
    <w:r w:rsidR="00D72B04">
      <w:rPr>
        <w:rFonts w:ascii="宋体" w:hAnsi="宋体"/>
        <w:sz w:val="28"/>
        <w:szCs w:val="28"/>
      </w:rPr>
      <w:fldChar w:fldCharType="separate"/>
    </w:r>
    <w:r w:rsidR="007A1E6B">
      <w:rPr>
        <w:rStyle w:val="a5"/>
        <w:rFonts w:ascii="宋体" w:hAnsi="宋体"/>
        <w:noProof/>
        <w:sz w:val="28"/>
        <w:szCs w:val="28"/>
      </w:rPr>
      <w:t>1</w:t>
    </w:r>
    <w:r w:rsidR="00D72B04">
      <w:rPr>
        <w:rFonts w:ascii="宋体" w:hAnsi="宋体"/>
        <w:sz w:val="28"/>
        <w:szCs w:val="28"/>
      </w:rPr>
      <w:fldChar w:fldCharType="end"/>
    </w:r>
    <w:r>
      <w:rPr>
        <w:rStyle w:val="a5"/>
        <w:rFonts w:ascii="宋体" w:hAnsi="宋体" w:hint="eastAsia"/>
        <w:sz w:val="28"/>
        <w:szCs w:val="28"/>
      </w:rPr>
      <w:t xml:space="preserve"> —  </w:t>
    </w:r>
  </w:p>
  <w:p w:rsidR="00337458" w:rsidRDefault="00337458">
    <w:pPr>
      <w:pStyle w:val="a3"/>
      <w:spacing w:line="20" w:lineRule="exact"/>
      <w:ind w:right="35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84A" w:rsidRDefault="007E684A" w:rsidP="00337458">
      <w:r>
        <w:separator/>
      </w:r>
    </w:p>
  </w:footnote>
  <w:footnote w:type="continuationSeparator" w:id="0">
    <w:p w:rsidR="007E684A" w:rsidRDefault="007E684A" w:rsidP="003374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forms" w:enforcement="0"/>
  <w:defaultTabStop w:val="420"/>
  <w:evenAndOddHeaders/>
  <w:drawingGridHorizontalSpacing w:val="102"/>
  <w:drawingGridVerticalSpacing w:val="144"/>
  <w:displayHorizontalDrawingGridEvery w:val="2"/>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7F3B"/>
    <w:rsid w:val="00003A4D"/>
    <w:rsid w:val="00015C60"/>
    <w:rsid w:val="00044388"/>
    <w:rsid w:val="0005066C"/>
    <w:rsid w:val="00052B1C"/>
    <w:rsid w:val="0005386C"/>
    <w:rsid w:val="00096AF1"/>
    <w:rsid w:val="000B684E"/>
    <w:rsid w:val="000B6F15"/>
    <w:rsid w:val="000C108E"/>
    <w:rsid w:val="000C1717"/>
    <w:rsid w:val="000C3733"/>
    <w:rsid w:val="000C7C86"/>
    <w:rsid w:val="0010712D"/>
    <w:rsid w:val="00111CCF"/>
    <w:rsid w:val="001165DF"/>
    <w:rsid w:val="0013549C"/>
    <w:rsid w:val="0014015D"/>
    <w:rsid w:val="001535A7"/>
    <w:rsid w:val="001653FC"/>
    <w:rsid w:val="0019093B"/>
    <w:rsid w:val="001A0245"/>
    <w:rsid w:val="001B449F"/>
    <w:rsid w:val="001B5F7E"/>
    <w:rsid w:val="001B67EB"/>
    <w:rsid w:val="00200C32"/>
    <w:rsid w:val="00203867"/>
    <w:rsid w:val="00206602"/>
    <w:rsid w:val="002233F5"/>
    <w:rsid w:val="00230604"/>
    <w:rsid w:val="00234B0C"/>
    <w:rsid w:val="0023770C"/>
    <w:rsid w:val="00242417"/>
    <w:rsid w:val="00243E19"/>
    <w:rsid w:val="0026542E"/>
    <w:rsid w:val="00272889"/>
    <w:rsid w:val="00273C2E"/>
    <w:rsid w:val="002768EB"/>
    <w:rsid w:val="00284D81"/>
    <w:rsid w:val="002B7974"/>
    <w:rsid w:val="002E0E52"/>
    <w:rsid w:val="002E3C7C"/>
    <w:rsid w:val="002E7585"/>
    <w:rsid w:val="002F17F2"/>
    <w:rsid w:val="002F59D9"/>
    <w:rsid w:val="003004CB"/>
    <w:rsid w:val="00307C86"/>
    <w:rsid w:val="00311F75"/>
    <w:rsid w:val="003212F7"/>
    <w:rsid w:val="003367EA"/>
    <w:rsid w:val="00337458"/>
    <w:rsid w:val="003603AF"/>
    <w:rsid w:val="00361B8F"/>
    <w:rsid w:val="00382E59"/>
    <w:rsid w:val="00390116"/>
    <w:rsid w:val="003911B9"/>
    <w:rsid w:val="003A2DA7"/>
    <w:rsid w:val="003A6624"/>
    <w:rsid w:val="003A6CDC"/>
    <w:rsid w:val="003B274E"/>
    <w:rsid w:val="003B74FB"/>
    <w:rsid w:val="003C3CFD"/>
    <w:rsid w:val="003C55A0"/>
    <w:rsid w:val="003C682D"/>
    <w:rsid w:val="003E07C6"/>
    <w:rsid w:val="0040068F"/>
    <w:rsid w:val="0041126D"/>
    <w:rsid w:val="00450818"/>
    <w:rsid w:val="00464A77"/>
    <w:rsid w:val="004676E9"/>
    <w:rsid w:val="00470211"/>
    <w:rsid w:val="00486503"/>
    <w:rsid w:val="004B62D6"/>
    <w:rsid w:val="004C39B8"/>
    <w:rsid w:val="004C4F91"/>
    <w:rsid w:val="004D4C3D"/>
    <w:rsid w:val="004D5194"/>
    <w:rsid w:val="004D5B74"/>
    <w:rsid w:val="00511FE8"/>
    <w:rsid w:val="00537D75"/>
    <w:rsid w:val="00545623"/>
    <w:rsid w:val="00545C5B"/>
    <w:rsid w:val="00547FE6"/>
    <w:rsid w:val="0056010B"/>
    <w:rsid w:val="00572160"/>
    <w:rsid w:val="005751E3"/>
    <w:rsid w:val="005833DE"/>
    <w:rsid w:val="00593EB7"/>
    <w:rsid w:val="005A6FC8"/>
    <w:rsid w:val="005D0EE0"/>
    <w:rsid w:val="005D3DCC"/>
    <w:rsid w:val="005D555D"/>
    <w:rsid w:val="005E0AD9"/>
    <w:rsid w:val="005F2447"/>
    <w:rsid w:val="0062082B"/>
    <w:rsid w:val="00633319"/>
    <w:rsid w:val="00634466"/>
    <w:rsid w:val="0064131C"/>
    <w:rsid w:val="006554DD"/>
    <w:rsid w:val="006723F8"/>
    <w:rsid w:val="00682AD8"/>
    <w:rsid w:val="00691C5D"/>
    <w:rsid w:val="006A2B4C"/>
    <w:rsid w:val="006B5231"/>
    <w:rsid w:val="006C4A2D"/>
    <w:rsid w:val="006C7F3B"/>
    <w:rsid w:val="006F1CEE"/>
    <w:rsid w:val="007050E0"/>
    <w:rsid w:val="007157B6"/>
    <w:rsid w:val="00721181"/>
    <w:rsid w:val="00734C68"/>
    <w:rsid w:val="0077261D"/>
    <w:rsid w:val="00772B5A"/>
    <w:rsid w:val="007930D4"/>
    <w:rsid w:val="007A0E30"/>
    <w:rsid w:val="007A1E6B"/>
    <w:rsid w:val="007A3AED"/>
    <w:rsid w:val="007A3C75"/>
    <w:rsid w:val="007E02F4"/>
    <w:rsid w:val="007E684A"/>
    <w:rsid w:val="007F0694"/>
    <w:rsid w:val="007F0E60"/>
    <w:rsid w:val="00811E43"/>
    <w:rsid w:val="008155C0"/>
    <w:rsid w:val="008271E0"/>
    <w:rsid w:val="00833AD3"/>
    <w:rsid w:val="00847D0E"/>
    <w:rsid w:val="00857F35"/>
    <w:rsid w:val="008603FD"/>
    <w:rsid w:val="0088515C"/>
    <w:rsid w:val="00886904"/>
    <w:rsid w:val="00891223"/>
    <w:rsid w:val="008A04F8"/>
    <w:rsid w:val="008A3ED2"/>
    <w:rsid w:val="008A4B13"/>
    <w:rsid w:val="008B3D74"/>
    <w:rsid w:val="008C1505"/>
    <w:rsid w:val="008C3283"/>
    <w:rsid w:val="008D0E73"/>
    <w:rsid w:val="008D2DF0"/>
    <w:rsid w:val="008E1F73"/>
    <w:rsid w:val="008E424F"/>
    <w:rsid w:val="00925758"/>
    <w:rsid w:val="0092754F"/>
    <w:rsid w:val="009427B2"/>
    <w:rsid w:val="00946AC0"/>
    <w:rsid w:val="00952532"/>
    <w:rsid w:val="00973B75"/>
    <w:rsid w:val="00973F2B"/>
    <w:rsid w:val="009862E8"/>
    <w:rsid w:val="009C35E5"/>
    <w:rsid w:val="009E5CEC"/>
    <w:rsid w:val="009E659A"/>
    <w:rsid w:val="009F045D"/>
    <w:rsid w:val="009F7CF4"/>
    <w:rsid w:val="00A06596"/>
    <w:rsid w:val="00A135BD"/>
    <w:rsid w:val="00A301C0"/>
    <w:rsid w:val="00A3338C"/>
    <w:rsid w:val="00A44E06"/>
    <w:rsid w:val="00A54AB7"/>
    <w:rsid w:val="00A55315"/>
    <w:rsid w:val="00A65A4B"/>
    <w:rsid w:val="00A90D1B"/>
    <w:rsid w:val="00AA1E81"/>
    <w:rsid w:val="00AA4993"/>
    <w:rsid w:val="00AA68DA"/>
    <w:rsid w:val="00AA7D00"/>
    <w:rsid w:val="00AC3C00"/>
    <w:rsid w:val="00AD0E93"/>
    <w:rsid w:val="00AD542B"/>
    <w:rsid w:val="00AF4521"/>
    <w:rsid w:val="00AF4880"/>
    <w:rsid w:val="00AF50A4"/>
    <w:rsid w:val="00B500F1"/>
    <w:rsid w:val="00B53539"/>
    <w:rsid w:val="00B63660"/>
    <w:rsid w:val="00B716EF"/>
    <w:rsid w:val="00B72BB7"/>
    <w:rsid w:val="00B75B51"/>
    <w:rsid w:val="00B87CA7"/>
    <w:rsid w:val="00B9341B"/>
    <w:rsid w:val="00BA4E25"/>
    <w:rsid w:val="00BC3298"/>
    <w:rsid w:val="00BD1F27"/>
    <w:rsid w:val="00BD4062"/>
    <w:rsid w:val="00BE1BFB"/>
    <w:rsid w:val="00BE5C27"/>
    <w:rsid w:val="00BF1EF9"/>
    <w:rsid w:val="00BF2AEC"/>
    <w:rsid w:val="00C04FD8"/>
    <w:rsid w:val="00C147E3"/>
    <w:rsid w:val="00C24AEE"/>
    <w:rsid w:val="00C47B6E"/>
    <w:rsid w:val="00C54BF5"/>
    <w:rsid w:val="00C7571E"/>
    <w:rsid w:val="00C83848"/>
    <w:rsid w:val="00C9179B"/>
    <w:rsid w:val="00C95AD1"/>
    <w:rsid w:val="00CA256F"/>
    <w:rsid w:val="00CD0A64"/>
    <w:rsid w:val="00CD0B20"/>
    <w:rsid w:val="00D20FF5"/>
    <w:rsid w:val="00D21574"/>
    <w:rsid w:val="00D33805"/>
    <w:rsid w:val="00D33DFB"/>
    <w:rsid w:val="00D4155F"/>
    <w:rsid w:val="00D533CE"/>
    <w:rsid w:val="00D5626B"/>
    <w:rsid w:val="00D60AFA"/>
    <w:rsid w:val="00D72B04"/>
    <w:rsid w:val="00D76DED"/>
    <w:rsid w:val="00D80741"/>
    <w:rsid w:val="00D90DD3"/>
    <w:rsid w:val="00D94500"/>
    <w:rsid w:val="00DA2233"/>
    <w:rsid w:val="00DC6F09"/>
    <w:rsid w:val="00DD22CA"/>
    <w:rsid w:val="00DD50D2"/>
    <w:rsid w:val="00DE73D7"/>
    <w:rsid w:val="00DF51DB"/>
    <w:rsid w:val="00E13A28"/>
    <w:rsid w:val="00E178C2"/>
    <w:rsid w:val="00E2087A"/>
    <w:rsid w:val="00E21872"/>
    <w:rsid w:val="00E50D53"/>
    <w:rsid w:val="00E57982"/>
    <w:rsid w:val="00E60AF6"/>
    <w:rsid w:val="00E638E6"/>
    <w:rsid w:val="00E70CFF"/>
    <w:rsid w:val="00E93FB6"/>
    <w:rsid w:val="00E97C50"/>
    <w:rsid w:val="00EA2A65"/>
    <w:rsid w:val="00EB46A9"/>
    <w:rsid w:val="00EB479E"/>
    <w:rsid w:val="00EB4966"/>
    <w:rsid w:val="00EE2846"/>
    <w:rsid w:val="00EF59B1"/>
    <w:rsid w:val="00F01E65"/>
    <w:rsid w:val="00F0318D"/>
    <w:rsid w:val="00F2159A"/>
    <w:rsid w:val="00F31CB8"/>
    <w:rsid w:val="00F33AD3"/>
    <w:rsid w:val="00F43EB4"/>
    <w:rsid w:val="00F6029C"/>
    <w:rsid w:val="00F82544"/>
    <w:rsid w:val="00F907DC"/>
    <w:rsid w:val="00F917ED"/>
    <w:rsid w:val="00F92BEB"/>
    <w:rsid w:val="00F95B3C"/>
    <w:rsid w:val="00FA51A5"/>
    <w:rsid w:val="00FA63DC"/>
    <w:rsid w:val="00FB3144"/>
    <w:rsid w:val="00FC354C"/>
    <w:rsid w:val="00FD0A4D"/>
    <w:rsid w:val="00FD1CF0"/>
    <w:rsid w:val="00FF3598"/>
    <w:rsid w:val="094B2BE2"/>
    <w:rsid w:val="09F83162"/>
    <w:rsid w:val="100260D5"/>
    <w:rsid w:val="10BD49C8"/>
    <w:rsid w:val="152777B3"/>
    <w:rsid w:val="16B95A05"/>
    <w:rsid w:val="1F8E67C3"/>
    <w:rsid w:val="213A6C19"/>
    <w:rsid w:val="2469288B"/>
    <w:rsid w:val="248601A1"/>
    <w:rsid w:val="26522FBD"/>
    <w:rsid w:val="26E217C0"/>
    <w:rsid w:val="27E73397"/>
    <w:rsid w:val="286970FD"/>
    <w:rsid w:val="2D521777"/>
    <w:rsid w:val="2ED25E69"/>
    <w:rsid w:val="2EDE7EEF"/>
    <w:rsid w:val="35341B90"/>
    <w:rsid w:val="364A0B96"/>
    <w:rsid w:val="37886D30"/>
    <w:rsid w:val="388E514A"/>
    <w:rsid w:val="3A1E0ECB"/>
    <w:rsid w:val="3ACA269F"/>
    <w:rsid w:val="3BEA08F2"/>
    <w:rsid w:val="40B40A12"/>
    <w:rsid w:val="42984E24"/>
    <w:rsid w:val="42DE1E41"/>
    <w:rsid w:val="44FA0CA1"/>
    <w:rsid w:val="4599376B"/>
    <w:rsid w:val="47BC30DB"/>
    <w:rsid w:val="481E0374"/>
    <w:rsid w:val="4CD72D9E"/>
    <w:rsid w:val="4E4974AB"/>
    <w:rsid w:val="4FB4126C"/>
    <w:rsid w:val="532C78EE"/>
    <w:rsid w:val="53E24437"/>
    <w:rsid w:val="570D11AE"/>
    <w:rsid w:val="57F90D46"/>
    <w:rsid w:val="5AA64F2A"/>
    <w:rsid w:val="5AF54653"/>
    <w:rsid w:val="5B050C25"/>
    <w:rsid w:val="5B910B4E"/>
    <w:rsid w:val="5C02545F"/>
    <w:rsid w:val="5C0F3234"/>
    <w:rsid w:val="5D913649"/>
    <w:rsid w:val="5EAD3230"/>
    <w:rsid w:val="5EE15EEA"/>
    <w:rsid w:val="637549F8"/>
    <w:rsid w:val="6718714E"/>
    <w:rsid w:val="6D8A27E1"/>
    <w:rsid w:val="701039AD"/>
    <w:rsid w:val="70DA7B98"/>
    <w:rsid w:val="738037F1"/>
    <w:rsid w:val="74FD44A3"/>
    <w:rsid w:val="77AE09AA"/>
    <w:rsid w:val="79C113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er" w:qFormat="1"/>
    <w:lsdException w:name="footer" w:qFormat="1"/>
    <w:lsdException w:name="page number" w:qFormat="1"/>
    <w:lsdException w:name="Default Paragraph Font" w:semiHidden="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33745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37458"/>
    <w:pPr>
      <w:tabs>
        <w:tab w:val="center" w:pos="4153"/>
        <w:tab w:val="right" w:pos="8306"/>
      </w:tabs>
      <w:snapToGrid w:val="0"/>
      <w:jc w:val="left"/>
    </w:pPr>
    <w:rPr>
      <w:sz w:val="18"/>
      <w:szCs w:val="18"/>
    </w:rPr>
  </w:style>
  <w:style w:type="paragraph" w:styleId="a4">
    <w:name w:val="header"/>
    <w:basedOn w:val="a"/>
    <w:qFormat/>
    <w:rsid w:val="00337458"/>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337458"/>
  </w:style>
  <w:style w:type="paragraph" w:customStyle="1" w:styleId="New">
    <w:name w:val="正文 New"/>
    <w:basedOn w:val="a"/>
    <w:qFormat/>
    <w:rsid w:val="00337458"/>
    <w:pPr>
      <w:spacing w:line="240" w:lineRule="atLeast"/>
    </w:pPr>
    <w:rPr>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389</Words>
  <Characters>2219</Characters>
  <Application>Microsoft Office Word</Application>
  <DocSecurity>0</DocSecurity>
  <Lines>18</Lines>
  <Paragraphs>5</Paragraphs>
  <ScaleCrop>false</ScaleCrop>
  <Company>***</Company>
  <LinksUpToDate>false</LinksUpToDate>
  <CharactersWithSpaces>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苏丽</dc:creator>
  <cp:lastModifiedBy>王晓东</cp:lastModifiedBy>
  <cp:revision>4</cp:revision>
  <dcterms:created xsi:type="dcterms:W3CDTF">2021-05-13T07:58:00Z</dcterms:created>
  <dcterms:modified xsi:type="dcterms:W3CDTF">2021-05-13T08:22:00Z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