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9B2BC">
      <w:pPr>
        <w:adjustRightInd w:val="0"/>
        <w:snapToGrid w:val="0"/>
        <w:spacing w:line="680" w:lineRule="exact"/>
        <w:jc w:val="center"/>
        <w:rPr>
          <w:rFonts w:hint="eastAsia" w:ascii="仿宋_GB2312" w:eastAsia="仿宋_GB2312"/>
          <w:snapToGrid w:val="0"/>
          <w:kern w:val="0"/>
          <w:sz w:val="32"/>
          <w:szCs w:val="32"/>
          <w:u w:val="none"/>
        </w:rPr>
      </w:pPr>
      <w:bookmarkStart w:id="0" w:name="_GoBack"/>
      <w:bookmarkEnd w:id="0"/>
      <w:r>
        <w:rPr>
          <w:rFonts w:hint="eastAsia" w:eastAsia="方正小标宋简体"/>
          <w:snapToGrid w:val="0"/>
          <w:color w:val="auto"/>
          <w:kern w:val="0"/>
          <w:sz w:val="44"/>
          <w:szCs w:val="44"/>
          <w:u w:val="none"/>
        </w:rPr>
        <w:t>天津市“先投后股”项目管理实施细则（试行）</w:t>
      </w:r>
    </w:p>
    <w:p w14:paraId="7D767169">
      <w:pPr>
        <w:adjustRightInd w:val="0"/>
        <w:snapToGrid w:val="0"/>
        <w:spacing w:line="560" w:lineRule="exact"/>
        <w:ind w:firstLine="606" w:firstLineChars="200"/>
        <w:rPr>
          <w:rFonts w:hint="eastAsia" w:ascii="仿宋_GB2312" w:eastAsia="仿宋_GB2312"/>
          <w:sz w:val="32"/>
          <w:szCs w:val="32"/>
          <w:u w:val="none"/>
        </w:rPr>
      </w:pPr>
    </w:p>
    <w:p w14:paraId="71964D7D">
      <w:pPr>
        <w:adjustRightInd w:val="0"/>
        <w:snapToGrid w:val="0"/>
        <w:spacing w:line="560" w:lineRule="exact"/>
        <w:jc w:val="center"/>
        <w:rPr>
          <w:rFonts w:hint="eastAsia" w:eastAsia="黑体"/>
          <w:snapToGrid w:val="0"/>
          <w:color w:val="auto"/>
          <w:kern w:val="0"/>
          <w:sz w:val="32"/>
          <w:szCs w:val="32"/>
          <w:u w:val="none"/>
        </w:rPr>
      </w:pPr>
      <w:r>
        <w:rPr>
          <w:rFonts w:hint="eastAsia" w:eastAsia="黑体"/>
          <w:snapToGrid w:val="0"/>
          <w:color w:val="auto"/>
          <w:kern w:val="0"/>
          <w:sz w:val="32"/>
          <w:szCs w:val="32"/>
          <w:u w:val="none"/>
        </w:rPr>
        <w:t>第一章</w:t>
      </w:r>
      <w:r>
        <w:rPr>
          <w:rFonts w:eastAsia="黑体"/>
          <w:snapToGrid w:val="0"/>
          <w:color w:val="auto"/>
          <w:kern w:val="0"/>
          <w:sz w:val="32"/>
          <w:szCs w:val="32"/>
          <w:u w:val="none"/>
        </w:rPr>
        <w:t xml:space="preserve"> </w:t>
      </w:r>
      <w:r>
        <w:rPr>
          <w:rFonts w:hint="eastAsia" w:eastAsia="黑体"/>
          <w:snapToGrid w:val="0"/>
          <w:color w:val="auto"/>
          <w:kern w:val="0"/>
          <w:sz w:val="32"/>
          <w:szCs w:val="32"/>
          <w:u w:val="none"/>
        </w:rPr>
        <w:t>总则</w:t>
      </w:r>
    </w:p>
    <w:p w14:paraId="564F90D4">
      <w:pPr>
        <w:adjustRightInd w:val="0"/>
        <w:snapToGrid w:val="0"/>
        <w:spacing w:line="560" w:lineRule="exact"/>
        <w:rPr>
          <w:rFonts w:eastAsia="黑体"/>
          <w:snapToGrid w:val="0"/>
          <w:color w:val="auto"/>
          <w:kern w:val="0"/>
          <w:sz w:val="32"/>
          <w:szCs w:val="32"/>
          <w:u w:val="none"/>
        </w:rPr>
      </w:pPr>
    </w:p>
    <w:p w14:paraId="18180DF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0"/>
        </w:tabs>
        <w:kinsoku/>
        <w:wordWrap/>
        <w:overflowPunct/>
        <w:topLinePunct w:val="0"/>
        <w:autoSpaceDE/>
        <w:autoSpaceDN/>
        <w:bidi w:val="0"/>
        <w:adjustRightInd/>
        <w:snapToGrid/>
        <w:spacing w:before="0" w:beforeAutospacing="0" w:after="0" w:afterLines="0" w:afterAutospacing="0" w:line="560" w:lineRule="exact"/>
        <w:ind w:left="0" w:leftChars="0" w:right="0" w:firstLine="606" w:firstLineChars="200"/>
        <w:jc w:val="both"/>
        <w:textAlignment w:val="auto"/>
        <w:rPr>
          <w:rFonts w:hint="eastAsia" w:ascii="Nimbus Roman No9 L" w:hAnsi="Nimbus Roman No9 L" w:eastAsia="仿宋_GB2312" w:cs="仿宋_GB2312"/>
          <w:b w:val="0"/>
          <w:bCs w:val="0"/>
          <w:color w:val="auto"/>
          <w:kern w:val="0"/>
          <w:sz w:val="32"/>
          <w:szCs w:val="32"/>
          <w:highlight w:val="none"/>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 xml:space="preserve">第一条 </w:t>
      </w:r>
      <w:r>
        <w:rPr>
          <w:rFonts w:hint="eastAsia" w:ascii="Nimbus Roman No9 L" w:hAnsi="Nimbus Roman No9 L" w:eastAsia="仿宋_GB2312" w:cs="仿宋_GB2312"/>
          <w:b w:val="0"/>
          <w:bCs w:val="0"/>
          <w:color w:val="auto"/>
          <w:kern w:val="0"/>
          <w:sz w:val="32"/>
          <w:szCs w:val="32"/>
          <w:highlight w:val="none"/>
          <w:u w:val="none"/>
          <w:lang w:val="en-US" w:eastAsia="zh-CN" w:bidi="ar"/>
        </w:rPr>
        <w:t>为深化财政科技资金管理改革，创新财政资金支持方式，推动由一次性无偿资助向循环性股权投资转变，坚持投早、投小、投长期、投硬科技导向，加快培育发展新质生产力，结合本市实际，依据天津市科技型企业发展专项资金及天津市科技计划项目与经费管理有关规定，制定本细则。</w:t>
      </w:r>
    </w:p>
    <w:p w14:paraId="66E9BC6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0"/>
        </w:tabs>
        <w:kinsoku/>
        <w:wordWrap/>
        <w:overflowPunct/>
        <w:topLinePunct w:val="0"/>
        <w:autoSpaceDE/>
        <w:autoSpaceDN/>
        <w:bidi w:val="0"/>
        <w:adjustRightInd/>
        <w:snapToGrid/>
        <w:spacing w:before="0" w:beforeAutospacing="0" w:after="0" w:afterLines="0" w:afterAutospacing="0" w:line="560" w:lineRule="exact"/>
        <w:ind w:left="0" w:leftChars="0" w:right="0" w:firstLine="606" w:firstLineChars="200"/>
        <w:jc w:val="both"/>
        <w:textAlignment w:val="auto"/>
        <w:rPr>
          <w:rFonts w:hint="eastAsia" w:ascii="Nimbus Roman No9 L" w:hAnsi="Nimbus Roman No9 L" w:eastAsia="仿宋_GB2312" w:cs="仿宋_GB2312"/>
          <w:b w:val="0"/>
          <w:bCs w:val="0"/>
          <w:color w:val="auto"/>
          <w:kern w:val="0"/>
          <w:sz w:val="32"/>
          <w:szCs w:val="32"/>
          <w:highlight w:val="none"/>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 xml:space="preserve">第二条 </w:t>
      </w:r>
      <w:r>
        <w:rPr>
          <w:rFonts w:hint="eastAsia" w:ascii="Nimbus Roman No9 L" w:hAnsi="Nimbus Roman No9 L" w:eastAsia="仿宋_GB2312" w:cs="仿宋_GB2312"/>
          <w:b w:val="0"/>
          <w:bCs w:val="0"/>
          <w:color w:val="auto"/>
          <w:kern w:val="0"/>
          <w:sz w:val="32"/>
          <w:szCs w:val="32"/>
          <w:highlight w:val="none"/>
          <w:u w:val="none"/>
          <w:lang w:val="en-US" w:eastAsia="zh-CN" w:bidi="ar"/>
        </w:rPr>
        <w:t>本细则所称“先投后股”，是市级财政资金对科技型企业引育及科技成果转化落地项目的创新支持模式。在“先投”阶段，财政资金以科技计划项目资助形式投入企业，用于研发创新与成果转化，明确约定后续转股条件；在“后股”阶段，企业达到约定转股条件时，按照协议将财政资金转为企业股权，并按照“适当收益”原则市场化退出，构建财政资金循环使用、长效运行机制。</w:t>
      </w:r>
    </w:p>
    <w:p w14:paraId="7459D4D5">
      <w:pPr>
        <w:widowControl/>
        <w:numPr>
          <w:ilvl w:val="0"/>
          <w:numId w:val="0"/>
        </w:numPr>
        <w:pBdr>
          <w:top w:val="none" w:color="auto" w:sz="0" w:space="0"/>
          <w:left w:val="none" w:color="auto" w:sz="0" w:space="0"/>
          <w:bottom w:val="none" w:color="auto" w:sz="0" w:space="0"/>
          <w:right w:val="none" w:color="auto" w:sz="0" w:space="0"/>
        </w:pBdr>
        <w:tabs>
          <w:tab w:val="left" w:pos="0"/>
        </w:tabs>
        <w:spacing w:after="0" w:afterLines="0" w:line="560" w:lineRule="exact"/>
        <w:ind w:left="0" w:leftChars="0" w:firstLine="606" w:firstLineChars="200"/>
        <w:rPr>
          <w:rFonts w:hint="eastAsia" w:ascii="Nimbus Roman No9 L" w:hAnsi="Nimbus Roman No9 L" w:eastAsia="仿宋_GB2312" w:cs="仿宋_GB2312"/>
          <w:b w:val="0"/>
          <w:bCs w:val="0"/>
          <w:color w:val="auto"/>
          <w:kern w:val="0"/>
          <w:sz w:val="32"/>
          <w:szCs w:val="32"/>
          <w:highlight w:val="none"/>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第三条</w:t>
      </w:r>
      <w:r>
        <w:rPr>
          <w:rFonts w:hint="eastAsia" w:ascii="Nimbus Roman No9 L" w:hAnsi="Nimbus Roman No9 L" w:eastAsia="仿宋_GB2312" w:cs="仿宋_GB2312"/>
          <w:b w:val="0"/>
          <w:bCs w:val="0"/>
          <w:color w:val="auto"/>
          <w:kern w:val="0"/>
          <w:sz w:val="32"/>
          <w:szCs w:val="32"/>
          <w:u w:val="none"/>
          <w:lang w:val="en-US" w:eastAsia="zh-CN" w:bidi="ar"/>
        </w:rPr>
        <w:t xml:space="preserve"> “先投后股”项目遵循“政府引导、市场运作、降本增效、滚动支持”的原则。市科技局、市财政局委托天津市科技创新发展中心（以下简称“创新中心”）作为受托管理机构；</w:t>
      </w:r>
      <w:r>
        <w:rPr>
          <w:rFonts w:hint="eastAsia" w:ascii="Nimbus Roman No9 L" w:hAnsi="Nimbus Roman No9 L" w:eastAsia="仿宋_GB2312" w:cs="仿宋_GB2312"/>
          <w:b w:val="0"/>
          <w:bCs w:val="0"/>
          <w:color w:val="auto"/>
          <w:kern w:val="0"/>
          <w:sz w:val="32"/>
          <w:szCs w:val="32"/>
          <w:highlight w:val="none"/>
          <w:u w:val="none"/>
          <w:lang w:val="en-US" w:eastAsia="zh-CN" w:bidi="ar"/>
        </w:rPr>
        <w:t>创新中心依托现有的专业投资平台（以下简称“投资平台”）实施专项股权投资。</w:t>
      </w:r>
    </w:p>
    <w:p w14:paraId="2C88AA0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0"/>
        </w:tabs>
        <w:kinsoku/>
        <w:wordWrap/>
        <w:overflowPunct/>
        <w:topLinePunct w:val="0"/>
        <w:autoSpaceDE/>
        <w:autoSpaceDN/>
        <w:bidi w:val="0"/>
        <w:adjustRightInd/>
        <w:snapToGrid/>
        <w:spacing w:before="0" w:beforeAutospacing="0" w:after="0" w:afterLines="0" w:afterAutospacing="0" w:line="560" w:lineRule="exact"/>
        <w:ind w:left="0" w:leftChars="0" w:right="0" w:firstLine="606" w:firstLineChars="200"/>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color w:val="auto"/>
          <w:kern w:val="0"/>
          <w:sz w:val="32"/>
          <w:szCs w:val="32"/>
          <w:highlight w:val="none"/>
          <w:u w:val="none"/>
          <w:lang w:eastAsia="zh-CN" w:bidi="ar"/>
        </w:rPr>
        <w:t>第四条</w:t>
      </w:r>
      <w:r>
        <w:rPr>
          <w:rFonts w:hint="eastAsia" w:ascii="黑体" w:hAnsi="黑体" w:eastAsia="黑体" w:cs="黑体"/>
          <w:color w:val="auto"/>
          <w:kern w:val="0"/>
          <w:sz w:val="32"/>
          <w:szCs w:val="32"/>
          <w:highlight w:val="none"/>
          <w:u w:val="none"/>
          <w:lang w:val="en-US" w:eastAsia="zh-CN" w:bidi="ar"/>
        </w:rPr>
        <w:t xml:space="preserve"> </w:t>
      </w:r>
      <w:r>
        <w:rPr>
          <w:rFonts w:hint="eastAsia" w:ascii="Nimbus Roman No9 L" w:hAnsi="Nimbus Roman No9 L" w:eastAsia="仿宋_GB2312" w:cs="仿宋_GB2312"/>
          <w:b w:val="0"/>
          <w:bCs w:val="0"/>
          <w:color w:val="auto"/>
          <w:kern w:val="0"/>
          <w:sz w:val="32"/>
          <w:szCs w:val="32"/>
          <w:u w:val="none"/>
          <w:lang w:val="en-US" w:eastAsia="zh-CN" w:bidi="ar"/>
        </w:rPr>
        <w:t>“先投后股”项目资金从天津市科技型企业发展专项资金中统筹安排，实行预算管理、专款专用。</w:t>
      </w:r>
    </w:p>
    <w:p w14:paraId="08F0A3A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0"/>
        </w:tabs>
        <w:kinsoku/>
        <w:wordWrap/>
        <w:overflowPunct/>
        <w:topLinePunct w:val="0"/>
        <w:autoSpaceDE/>
        <w:autoSpaceDN/>
        <w:bidi w:val="0"/>
        <w:adjustRightInd/>
        <w:snapToGrid/>
        <w:spacing w:before="0" w:beforeAutospacing="0" w:after="0" w:afterLines="0" w:afterAutospacing="0" w:line="560" w:lineRule="exact"/>
        <w:ind w:left="0" w:leftChars="0" w:right="0" w:firstLine="606" w:firstLineChars="200"/>
        <w:jc w:val="both"/>
        <w:textAlignment w:val="auto"/>
        <w:rPr>
          <w:rFonts w:hint="eastAsia" w:ascii="Nimbus Roman No9 L" w:hAnsi="Nimbus Roman No9 L" w:eastAsia="仿宋_GB2312" w:cs="仿宋_GB2312"/>
          <w:b w:val="0"/>
          <w:bCs w:val="0"/>
          <w:color w:val="auto"/>
          <w:kern w:val="0"/>
          <w:sz w:val="32"/>
          <w:szCs w:val="32"/>
          <w:highlight w:val="yellow"/>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第五条</w:t>
      </w:r>
      <w:r>
        <w:rPr>
          <w:rFonts w:hint="eastAsia" w:ascii="Nimbus Roman No9 L" w:hAnsi="Nimbus Roman No9 L" w:eastAsia="仿宋_GB2312" w:cs="仿宋_GB2312"/>
          <w:b w:val="0"/>
          <w:bCs w:val="0"/>
          <w:color w:val="auto"/>
          <w:kern w:val="0"/>
          <w:sz w:val="32"/>
          <w:szCs w:val="32"/>
          <w:highlight w:val="none"/>
          <w:u w:val="none"/>
          <w:lang w:val="en-US" w:eastAsia="zh-CN" w:bidi="ar"/>
        </w:rPr>
        <w:t xml:space="preserve"> 健全局区联动工作机制，对市级“先投后股”支持企业，引导</w:t>
      </w:r>
      <w:r>
        <w:rPr>
          <w:rFonts w:hint="eastAsia" w:ascii="Nimbus Roman No9 L" w:hAnsi="Nimbus Roman No9 L" w:eastAsia="仿宋_GB2312" w:cs="仿宋_GB2312"/>
          <w:b w:val="0"/>
          <w:bCs w:val="0"/>
          <w:i w:val="0"/>
          <w:iCs w:val="0"/>
          <w:color w:val="auto"/>
          <w:kern w:val="0"/>
          <w:sz w:val="32"/>
          <w:szCs w:val="32"/>
          <w:highlight w:val="none"/>
          <w:u w:val="none"/>
          <w:lang w:val="en-US" w:eastAsia="zh-CN" w:bidi="ar"/>
        </w:rPr>
        <w:t>企业注册地所在区</w:t>
      </w:r>
      <w:r>
        <w:rPr>
          <w:rFonts w:hint="eastAsia" w:ascii="Nimbus Roman No9 L" w:hAnsi="Nimbus Roman No9 L" w:eastAsia="仿宋_GB2312" w:cs="仿宋_GB2312"/>
          <w:b w:val="0"/>
          <w:bCs w:val="0"/>
          <w:color w:val="auto"/>
          <w:kern w:val="0"/>
          <w:sz w:val="32"/>
          <w:szCs w:val="32"/>
          <w:highlight w:val="none"/>
          <w:u w:val="none"/>
          <w:lang w:val="en-US" w:eastAsia="zh-CN" w:bidi="ar"/>
        </w:rPr>
        <w:t>做好相关保障。鼓励政府引导基金和社会资本同步跟投，充分放大财政资金杠杆效应；推动银行、保险机构开发“先投后股”项目专属创新产品，为项目承担单位引入保险保障，拓宽企业融资渠道。</w:t>
      </w:r>
    </w:p>
    <w:p w14:paraId="2D5937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p>
    <w:p w14:paraId="5D4F9E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0" w:firstLineChars="0"/>
        <w:jc w:val="center"/>
        <w:textAlignment w:val="auto"/>
        <w:rPr>
          <w:rFonts w:hint="eastAsia" w:ascii="黑体" w:hAnsi="黑体" w:eastAsia="黑体" w:cs="黑体"/>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第二章 职责分工</w:t>
      </w:r>
    </w:p>
    <w:p w14:paraId="21B66A6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0" w:firstLineChars="0"/>
        <w:jc w:val="center"/>
        <w:textAlignment w:val="auto"/>
        <w:rPr>
          <w:rFonts w:hint="eastAsia" w:ascii="黑体" w:hAnsi="黑体" w:eastAsia="黑体" w:cs="黑体"/>
          <w:b w:val="0"/>
          <w:bCs w:val="0"/>
          <w:color w:val="auto"/>
          <w:kern w:val="0"/>
          <w:sz w:val="32"/>
          <w:szCs w:val="32"/>
          <w:u w:val="none"/>
          <w:lang w:val="en-US" w:eastAsia="zh-CN" w:bidi="ar"/>
        </w:rPr>
      </w:pPr>
    </w:p>
    <w:p w14:paraId="7AD68B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第六条</w:t>
      </w:r>
      <w:r>
        <w:rPr>
          <w:rFonts w:hint="eastAsia" w:ascii="Nimbus Roman No9 L" w:hAnsi="Nimbus Roman No9 L" w:eastAsia="仿宋_GB2312" w:cs="仿宋_GB2312"/>
          <w:b w:val="0"/>
          <w:bCs w:val="0"/>
          <w:color w:val="auto"/>
          <w:kern w:val="0"/>
          <w:sz w:val="32"/>
          <w:szCs w:val="32"/>
          <w:u w:val="none"/>
          <w:lang w:val="en-US" w:eastAsia="zh-CN" w:bidi="ar"/>
        </w:rPr>
        <w:t xml:space="preserve"> 市科技局的主要职责包括：</w:t>
      </w:r>
    </w:p>
    <w:p w14:paraId="01C6D1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（一）编制资金使用计划与绩效目标，协同市财政局做好资金拨付；</w:t>
      </w:r>
    </w:p>
    <w:p w14:paraId="207B34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（二）组织开展项目申报、审核、评审、立项、公示、签约、过程管理及验收工作；</w:t>
      </w:r>
    </w:p>
    <w:p w14:paraId="4EB5EA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（三）组织签订《项目任务合同书》；</w:t>
      </w:r>
    </w:p>
    <w:p w14:paraId="30E16B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（四）指导受托管理、权益代持、投后服务、权益退出及收益管理等工作；</w:t>
      </w:r>
    </w:p>
    <w:p w14:paraId="34FE00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 xml:space="preserve">（五）会同市财政局实施绩效考核。  </w:t>
      </w:r>
    </w:p>
    <w:p w14:paraId="05F8AA6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第七条</w:t>
      </w:r>
      <w:r>
        <w:rPr>
          <w:rFonts w:hint="eastAsia" w:ascii="Nimbus Roman No9 L" w:hAnsi="Nimbus Roman No9 L" w:eastAsia="仿宋_GB2312" w:cs="仿宋_GB2312"/>
          <w:b w:val="0"/>
          <w:bCs w:val="0"/>
          <w:color w:val="auto"/>
          <w:kern w:val="0"/>
          <w:sz w:val="32"/>
          <w:szCs w:val="32"/>
          <w:u w:val="none"/>
          <w:lang w:val="en-US" w:eastAsia="zh-CN" w:bidi="ar"/>
        </w:rPr>
        <w:t xml:space="preserve"> 市财政局的主要职责包括：</w:t>
      </w:r>
    </w:p>
    <w:p w14:paraId="2E4AE2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（一）核定“先投后股”项目资金预算，规范办理财政资金拨付；</w:t>
      </w:r>
    </w:p>
    <w:p w14:paraId="225CBB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（二）配合市科技局开展绩效考核；</w:t>
      </w:r>
    </w:p>
    <w:p w14:paraId="523038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color w:val="auto"/>
          <w:u w:val="none"/>
        </w:rPr>
      </w:pPr>
      <w:r>
        <w:rPr>
          <w:rFonts w:hint="eastAsia" w:ascii="Nimbus Roman No9 L" w:hAnsi="Nimbus Roman No9 L" w:eastAsia="仿宋_GB2312" w:cs="仿宋_GB2312"/>
          <w:b w:val="0"/>
          <w:bCs w:val="0"/>
          <w:color w:val="auto"/>
          <w:kern w:val="0"/>
          <w:sz w:val="32"/>
          <w:szCs w:val="32"/>
          <w:u w:val="none"/>
          <w:lang w:val="en-US" w:eastAsia="zh-CN" w:bidi="ar"/>
        </w:rPr>
        <w:t>（三）监督财政资金使用、回收、权益代持及滚动运行情况。</w:t>
      </w:r>
    </w:p>
    <w:p w14:paraId="5FA580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第八条</w:t>
      </w:r>
      <w:r>
        <w:rPr>
          <w:rFonts w:hint="eastAsia" w:ascii="Nimbus Roman No9 L" w:hAnsi="Nimbus Roman No9 L" w:eastAsia="仿宋_GB2312" w:cs="仿宋_GB2312"/>
          <w:b w:val="0"/>
          <w:bCs w:val="0"/>
          <w:color w:val="auto"/>
          <w:kern w:val="0"/>
          <w:sz w:val="32"/>
          <w:szCs w:val="32"/>
          <w:u w:val="none"/>
          <w:lang w:val="en-US" w:eastAsia="zh-CN" w:bidi="ar"/>
        </w:rPr>
        <w:t xml:space="preserve"> 创新中心（受托管理机构）的主要职责包括：</w:t>
      </w:r>
    </w:p>
    <w:p w14:paraId="23BDEF4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（一）履行受托管理主体责任，统筹“先投后股”项目全流程管理，以市场化原则制定配套管理制度；</w:t>
      </w:r>
    </w:p>
    <w:p w14:paraId="53BFEC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（二）组织开展尽职调查、投资决策、权益代持管理、投后服务及退出等工作；</w:t>
      </w:r>
    </w:p>
    <w:p w14:paraId="342E7FF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（三）组织签订《股权认购选择权授予协议》，并在区域性股权市场进行登记；</w:t>
      </w:r>
    </w:p>
    <w:p w14:paraId="1D002A6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（四）跟踪“先投”阶段实施进展，提出权益代持建议，提供运营指导、投融资对接等服务；</w:t>
      </w:r>
    </w:p>
    <w:p w14:paraId="63272F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highlight w:val="none"/>
          <w:u w:val="none"/>
          <w:lang w:val="en-US" w:eastAsia="zh-CN" w:bidi="ar"/>
        </w:rPr>
      </w:pPr>
      <w:r>
        <w:rPr>
          <w:rFonts w:hint="eastAsia" w:ascii="Nimbus Roman No9 L" w:hAnsi="Nimbus Roman No9 L" w:eastAsia="仿宋_GB2312" w:cs="仿宋_GB2312"/>
          <w:b w:val="0"/>
          <w:bCs w:val="0"/>
          <w:color w:val="auto"/>
          <w:kern w:val="0"/>
          <w:sz w:val="32"/>
          <w:szCs w:val="32"/>
          <w:highlight w:val="none"/>
          <w:u w:val="none"/>
          <w:lang w:val="en-US" w:eastAsia="zh-CN" w:bidi="ar"/>
        </w:rPr>
        <w:t>（五）监督投资平台权益代持、运营管理及风险防控工作；</w:t>
      </w:r>
    </w:p>
    <w:p w14:paraId="1E2A44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highlight w:val="none"/>
          <w:u w:val="none"/>
          <w:lang w:val="en-US" w:eastAsia="zh-CN" w:bidi="ar"/>
        </w:rPr>
        <w:t>（六）及时向市科技局报送项目运行及权益代</w:t>
      </w:r>
      <w:r>
        <w:rPr>
          <w:rFonts w:hint="eastAsia" w:ascii="Nimbus Roman No9 L" w:hAnsi="Nimbus Roman No9 L" w:eastAsia="仿宋_GB2312" w:cs="仿宋_GB2312"/>
          <w:b w:val="0"/>
          <w:bCs w:val="0"/>
          <w:color w:val="auto"/>
          <w:kern w:val="0"/>
          <w:sz w:val="32"/>
          <w:szCs w:val="32"/>
          <w:u w:val="none"/>
          <w:lang w:val="en-US" w:eastAsia="zh-CN" w:bidi="ar"/>
        </w:rPr>
        <w:t>持管理情况；</w:t>
      </w:r>
    </w:p>
    <w:p w14:paraId="483B23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color w:val="auto"/>
          <w:u w:val="none"/>
        </w:rPr>
      </w:pPr>
      <w:r>
        <w:rPr>
          <w:rFonts w:hint="eastAsia" w:ascii="Nimbus Roman No9 L" w:hAnsi="Nimbus Roman No9 L" w:eastAsia="仿宋_GB2312" w:cs="仿宋_GB2312"/>
          <w:b w:val="0"/>
          <w:bCs w:val="0"/>
          <w:color w:val="auto"/>
          <w:kern w:val="0"/>
          <w:sz w:val="32"/>
          <w:szCs w:val="32"/>
          <w:u w:val="none"/>
          <w:lang w:val="en-US" w:eastAsia="zh-CN" w:bidi="ar"/>
        </w:rPr>
        <w:t>（七）统筹财政资金回收、上缴国库及滚动支持工作。</w:t>
      </w:r>
    </w:p>
    <w:p w14:paraId="5A7AD6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highlight w:val="none"/>
          <w:u w:val="none"/>
          <w:lang w:val="en-US" w:eastAsia="zh-CN" w:bidi="ar"/>
        </w:rPr>
      </w:pPr>
      <w:r>
        <w:rPr>
          <w:rFonts w:hint="eastAsia" w:ascii="黑体" w:hAnsi="黑体" w:eastAsia="黑体" w:cs="黑体"/>
          <w:b w:val="0"/>
          <w:bCs w:val="0"/>
          <w:color w:val="auto"/>
          <w:kern w:val="0"/>
          <w:sz w:val="32"/>
          <w:szCs w:val="32"/>
          <w:highlight w:val="none"/>
          <w:u w:val="none"/>
          <w:lang w:val="en-US" w:eastAsia="zh-CN" w:bidi="ar"/>
        </w:rPr>
        <w:t>第九条</w:t>
      </w:r>
      <w:r>
        <w:rPr>
          <w:rFonts w:hint="eastAsia" w:ascii="Nimbus Roman No9 L" w:hAnsi="Nimbus Roman No9 L" w:eastAsia="仿宋_GB2312" w:cs="仿宋_GB2312"/>
          <w:b w:val="0"/>
          <w:bCs w:val="0"/>
          <w:color w:val="auto"/>
          <w:kern w:val="0"/>
          <w:sz w:val="32"/>
          <w:szCs w:val="32"/>
          <w:highlight w:val="none"/>
          <w:u w:val="none"/>
          <w:lang w:val="en-US" w:eastAsia="zh-CN" w:bidi="ar"/>
        </w:rPr>
        <w:t xml:space="preserve"> 投资平台（权益代持机构）</w:t>
      </w:r>
      <w:r>
        <w:rPr>
          <w:rFonts w:hint="eastAsia" w:ascii="Nimbus Roman No9 L" w:hAnsi="Nimbus Roman No9 L" w:eastAsia="仿宋_GB2312" w:cs="仿宋_GB2312"/>
          <w:b w:val="0"/>
          <w:bCs w:val="0"/>
          <w:color w:val="auto"/>
          <w:kern w:val="0"/>
          <w:sz w:val="32"/>
          <w:szCs w:val="32"/>
          <w:u w:val="none"/>
          <w:lang w:val="en-US" w:eastAsia="zh-CN" w:bidi="ar"/>
        </w:rPr>
        <w:t>的主要职责包括</w:t>
      </w:r>
      <w:r>
        <w:rPr>
          <w:rFonts w:hint="eastAsia" w:ascii="Nimbus Roman No9 L" w:hAnsi="Nimbus Roman No9 L" w:eastAsia="仿宋_GB2312" w:cs="仿宋_GB2312"/>
          <w:b w:val="0"/>
          <w:bCs w:val="0"/>
          <w:color w:val="auto"/>
          <w:kern w:val="0"/>
          <w:sz w:val="32"/>
          <w:szCs w:val="32"/>
          <w:highlight w:val="none"/>
          <w:u w:val="none"/>
          <w:lang w:val="en-US" w:eastAsia="zh-CN" w:bidi="ar"/>
        </w:rPr>
        <w:t>：</w:t>
      </w:r>
    </w:p>
    <w:p w14:paraId="13FA67A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highlight w:val="none"/>
          <w:u w:val="none"/>
          <w:lang w:val="en-US" w:eastAsia="zh-CN" w:bidi="ar"/>
        </w:rPr>
      </w:pPr>
      <w:r>
        <w:rPr>
          <w:rFonts w:hint="eastAsia" w:ascii="Nimbus Roman No9 L" w:hAnsi="Nimbus Roman No9 L" w:eastAsia="仿宋_GB2312" w:cs="仿宋_GB2312"/>
          <w:b w:val="0"/>
          <w:bCs w:val="0"/>
          <w:color w:val="auto"/>
          <w:kern w:val="0"/>
          <w:sz w:val="32"/>
          <w:szCs w:val="32"/>
          <w:highlight w:val="none"/>
          <w:u w:val="none"/>
          <w:lang w:val="en-US" w:eastAsia="zh-CN" w:bidi="ar"/>
        </w:rPr>
        <w:t>（一）代为持有</w:t>
      </w:r>
      <w:r>
        <w:rPr>
          <w:rFonts w:hint="eastAsia" w:ascii="Nimbus Roman No9 L" w:hAnsi="Nimbus Roman No9 L" w:eastAsia="仿宋_GB2312" w:cs="仿宋_GB2312"/>
          <w:b w:val="0"/>
          <w:bCs w:val="0"/>
          <w:color w:val="auto"/>
          <w:sz w:val="31"/>
          <w:szCs w:val="31"/>
          <w:highlight w:val="none"/>
          <w:u w:val="none"/>
        </w:rPr>
        <w:t>股权认购选择权</w:t>
      </w:r>
      <w:r>
        <w:rPr>
          <w:rFonts w:hint="eastAsia" w:ascii="Nimbus Roman No9 L" w:hAnsi="Nimbus Roman No9 L" w:eastAsia="仿宋_GB2312" w:cs="仿宋_GB2312"/>
          <w:b w:val="0"/>
          <w:bCs w:val="0"/>
          <w:color w:val="auto"/>
          <w:sz w:val="31"/>
          <w:szCs w:val="31"/>
          <w:highlight w:val="none"/>
          <w:u w:val="none"/>
          <w:lang w:eastAsia="zh-CN"/>
        </w:rPr>
        <w:t>、</w:t>
      </w:r>
      <w:r>
        <w:rPr>
          <w:rFonts w:hint="eastAsia" w:ascii="Nimbus Roman No9 L" w:hAnsi="Nimbus Roman No9 L" w:eastAsia="仿宋_GB2312" w:cs="仿宋_GB2312"/>
          <w:b w:val="0"/>
          <w:bCs w:val="0"/>
          <w:color w:val="auto"/>
          <w:kern w:val="0"/>
          <w:sz w:val="32"/>
          <w:szCs w:val="32"/>
          <w:highlight w:val="none"/>
          <w:u w:val="none"/>
          <w:lang w:val="en-US" w:eastAsia="zh-CN" w:bidi="ar"/>
        </w:rPr>
        <w:t>股权，具体执行市场化投资运作；</w:t>
      </w:r>
    </w:p>
    <w:p w14:paraId="583F3D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highlight w:val="none"/>
          <w:u w:val="none"/>
          <w:lang w:val="en-US" w:eastAsia="zh-CN" w:bidi="ar"/>
        </w:rPr>
      </w:pPr>
      <w:r>
        <w:rPr>
          <w:rFonts w:hint="eastAsia" w:ascii="Nimbus Roman No9 L" w:hAnsi="Nimbus Roman No9 L" w:eastAsia="仿宋_GB2312" w:cs="仿宋_GB2312"/>
          <w:b w:val="0"/>
          <w:bCs w:val="0"/>
          <w:color w:val="auto"/>
          <w:kern w:val="0"/>
          <w:sz w:val="32"/>
          <w:szCs w:val="32"/>
          <w:highlight w:val="none"/>
          <w:u w:val="none"/>
          <w:lang w:val="en-US" w:eastAsia="zh-CN" w:bidi="ar"/>
        </w:rPr>
        <w:t>（二）开展尽职调查、转股实施、股权管理、工商变更及股权退出等工作；</w:t>
      </w:r>
    </w:p>
    <w:p w14:paraId="5AD0E2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highlight w:val="none"/>
          <w:u w:val="none"/>
          <w:lang w:val="en-US" w:eastAsia="zh-CN" w:bidi="ar"/>
        </w:rPr>
      </w:pPr>
      <w:r>
        <w:rPr>
          <w:rFonts w:hint="eastAsia" w:ascii="Nimbus Roman No9 L" w:hAnsi="Nimbus Roman No9 L" w:eastAsia="仿宋_GB2312" w:cs="仿宋_GB2312"/>
          <w:b w:val="0"/>
          <w:bCs w:val="0"/>
          <w:color w:val="auto"/>
          <w:kern w:val="0"/>
          <w:sz w:val="32"/>
          <w:szCs w:val="32"/>
          <w:highlight w:val="none"/>
          <w:u w:val="none"/>
          <w:lang w:val="en-US" w:eastAsia="zh-CN" w:bidi="ar"/>
        </w:rPr>
        <w:t>（三）按约定行使股东权利，维护财政资金合法权益；</w:t>
      </w:r>
    </w:p>
    <w:p w14:paraId="3A3F2C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highlight w:val="none"/>
          <w:u w:val="none"/>
          <w:lang w:val="en-US" w:eastAsia="zh-CN" w:bidi="ar"/>
        </w:rPr>
      </w:pPr>
      <w:r>
        <w:rPr>
          <w:rFonts w:hint="eastAsia" w:ascii="Nimbus Roman No9 L" w:hAnsi="Nimbus Roman No9 L" w:eastAsia="仿宋_GB2312" w:cs="仿宋_GB2312"/>
          <w:b w:val="0"/>
          <w:bCs w:val="0"/>
          <w:color w:val="auto"/>
          <w:kern w:val="0"/>
          <w:sz w:val="32"/>
          <w:szCs w:val="32"/>
          <w:highlight w:val="none"/>
          <w:u w:val="none"/>
          <w:lang w:val="en-US" w:eastAsia="zh-CN" w:bidi="ar"/>
        </w:rPr>
        <w:t>（四）建立权益代持台账、风险防控体系及投后服务机制；</w:t>
      </w:r>
    </w:p>
    <w:p w14:paraId="78E127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highlight w:val="none"/>
          <w:u w:val="none"/>
          <w:lang w:val="en-US" w:eastAsia="zh-CN" w:bidi="ar"/>
        </w:rPr>
      </w:pPr>
      <w:r>
        <w:rPr>
          <w:rFonts w:hint="eastAsia" w:ascii="Nimbus Roman No9 L" w:hAnsi="Nimbus Roman No9 L" w:eastAsia="仿宋_GB2312" w:cs="仿宋_GB2312"/>
          <w:b w:val="0"/>
          <w:bCs w:val="0"/>
          <w:color w:val="auto"/>
          <w:kern w:val="0"/>
          <w:sz w:val="32"/>
          <w:szCs w:val="32"/>
          <w:highlight w:val="none"/>
          <w:u w:val="none"/>
          <w:lang w:val="en-US" w:eastAsia="zh-CN" w:bidi="ar"/>
        </w:rPr>
        <w:t>（五）定期向创新中心报送股权变动、财务收支及项目（企业）情况；</w:t>
      </w:r>
    </w:p>
    <w:p w14:paraId="3E4839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highlight w:val="none"/>
          <w:u w:val="none"/>
          <w:lang w:val="en-US" w:eastAsia="zh-CN" w:bidi="ar"/>
        </w:rPr>
      </w:pPr>
      <w:r>
        <w:rPr>
          <w:rFonts w:hint="eastAsia" w:ascii="Nimbus Roman No9 L" w:hAnsi="Nimbus Roman No9 L" w:eastAsia="仿宋_GB2312" w:cs="仿宋_GB2312"/>
          <w:b w:val="0"/>
          <w:bCs w:val="0"/>
          <w:color w:val="auto"/>
          <w:kern w:val="0"/>
          <w:sz w:val="32"/>
          <w:szCs w:val="32"/>
          <w:highlight w:val="none"/>
          <w:u w:val="none"/>
          <w:lang w:val="en-US" w:eastAsia="zh-CN" w:bidi="ar"/>
        </w:rPr>
        <w:t>（六）积极构建多元协同支持体系，探索加强与各类金融机构联动支持项目（企业）发展的机制和路径；</w:t>
      </w:r>
    </w:p>
    <w:p w14:paraId="0122A1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highlight w:val="none"/>
          <w:u w:val="none"/>
          <w:lang w:val="en-US" w:eastAsia="zh-CN" w:bidi="ar"/>
        </w:rPr>
      </w:pPr>
      <w:r>
        <w:rPr>
          <w:rFonts w:hint="eastAsia" w:ascii="Nimbus Roman No9 L" w:hAnsi="Nimbus Roman No9 L" w:eastAsia="仿宋_GB2312" w:cs="仿宋_GB2312"/>
          <w:b w:val="0"/>
          <w:bCs w:val="0"/>
          <w:color w:val="auto"/>
          <w:kern w:val="0"/>
          <w:sz w:val="32"/>
          <w:szCs w:val="32"/>
          <w:highlight w:val="none"/>
          <w:u w:val="none"/>
          <w:lang w:val="en-US" w:eastAsia="zh-CN" w:bidi="ar"/>
        </w:rPr>
        <w:t>（七）通过项目经理人或服务专员等工作机制，加强对项目全过程的跟踪服务；</w:t>
      </w:r>
    </w:p>
    <w:p w14:paraId="64A146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color w:val="auto"/>
          <w:u w:val="none"/>
        </w:rPr>
      </w:pPr>
      <w:r>
        <w:rPr>
          <w:rFonts w:hint="eastAsia" w:ascii="Nimbus Roman No9 L" w:hAnsi="Nimbus Roman No9 L" w:eastAsia="仿宋_GB2312" w:cs="仿宋_GB2312"/>
          <w:b w:val="0"/>
          <w:bCs w:val="0"/>
          <w:color w:val="auto"/>
          <w:kern w:val="0"/>
          <w:sz w:val="32"/>
          <w:szCs w:val="32"/>
          <w:highlight w:val="none"/>
          <w:u w:val="none"/>
          <w:lang w:val="en-US" w:eastAsia="zh-CN" w:bidi="ar"/>
        </w:rPr>
        <w:t>（八）完成创新中心交办的其他权益代持与管理事项。</w:t>
      </w:r>
    </w:p>
    <w:p w14:paraId="09BEC1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第十条</w:t>
      </w:r>
      <w:r>
        <w:rPr>
          <w:rFonts w:hint="eastAsia" w:ascii="Nimbus Roman No9 L" w:hAnsi="Nimbus Roman No9 L" w:eastAsia="仿宋_GB2312" w:cs="仿宋_GB2312"/>
          <w:b w:val="0"/>
          <w:bCs w:val="0"/>
          <w:color w:val="auto"/>
          <w:kern w:val="0"/>
          <w:sz w:val="32"/>
          <w:szCs w:val="32"/>
          <w:u w:val="none"/>
          <w:lang w:val="en-US" w:eastAsia="zh-CN" w:bidi="ar"/>
        </w:rPr>
        <w:t xml:space="preserve"> 项目承担单位的主要职责包括：</w:t>
      </w:r>
    </w:p>
    <w:p w14:paraId="76D18E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（一）对申报材料的真实性、合法性、完整性承担主体责任；</w:t>
      </w:r>
    </w:p>
    <w:p w14:paraId="3B06FF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（二）规范使用财政资金，按期完成绩效目标，及时报送相关材料；</w:t>
      </w:r>
    </w:p>
    <w:p w14:paraId="2DE364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（三）建立健全项目管理、经费使用等制度；</w:t>
      </w:r>
    </w:p>
    <w:p w14:paraId="2A9027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（四）及时报告项目实施重大进展与风险问题；</w:t>
      </w:r>
    </w:p>
    <w:p w14:paraId="43C18E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（五）在行权期内，向融资投资方完整披露《股权认购选择权授予协议》约定内容并取得书面同意；</w:t>
      </w:r>
    </w:p>
    <w:p w14:paraId="65314AE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（六）获得外部股权投资后5个工作日内，向投资平台书面报备相关信息；</w:t>
      </w:r>
    </w:p>
    <w:p w14:paraId="03C4F9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（七）配合创新中心、投资平台完成</w:t>
      </w:r>
      <w:r>
        <w:rPr>
          <w:rFonts w:hint="eastAsia" w:ascii="Nimbus Roman No9 L" w:hAnsi="Nimbus Roman No9 L" w:eastAsia="仿宋_GB2312" w:cs="仿宋_GB2312"/>
          <w:b w:val="0"/>
          <w:bCs w:val="0"/>
          <w:color w:val="auto"/>
          <w:sz w:val="31"/>
          <w:szCs w:val="31"/>
          <w:u w:val="none"/>
        </w:rPr>
        <w:t>《股权认购选择权授予协议》登记</w:t>
      </w:r>
      <w:r>
        <w:rPr>
          <w:rFonts w:hint="eastAsia" w:ascii="Nimbus Roman No9 L" w:hAnsi="Nimbus Roman No9 L" w:eastAsia="仿宋_GB2312" w:cs="仿宋_GB2312"/>
          <w:b w:val="0"/>
          <w:bCs w:val="0"/>
          <w:color w:val="auto"/>
          <w:sz w:val="31"/>
          <w:szCs w:val="31"/>
          <w:u w:val="none"/>
          <w:lang w:eastAsia="zh-CN"/>
        </w:rPr>
        <w:t>、</w:t>
      </w:r>
      <w:r>
        <w:rPr>
          <w:rFonts w:hint="eastAsia" w:ascii="Nimbus Roman No9 L" w:hAnsi="Nimbus Roman No9 L" w:eastAsia="仿宋_GB2312" w:cs="仿宋_GB2312"/>
          <w:b w:val="0"/>
          <w:bCs w:val="0"/>
          <w:color w:val="auto"/>
          <w:kern w:val="0"/>
          <w:sz w:val="32"/>
          <w:szCs w:val="32"/>
          <w:u w:val="none"/>
          <w:lang w:val="en-US" w:eastAsia="zh-CN" w:bidi="ar"/>
        </w:rPr>
        <w:t>转股、行权、股权代持及工商变更等手续；</w:t>
      </w:r>
    </w:p>
    <w:p w14:paraId="56E586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（八）配合开展监督检查、投后管理、股权退出等相关工作；</w:t>
      </w:r>
    </w:p>
    <w:p w14:paraId="39E622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sz w:val="32"/>
          <w:szCs w:val="32"/>
          <w:u w:val="none"/>
        </w:rPr>
      </w:pPr>
      <w:r>
        <w:rPr>
          <w:rFonts w:hint="eastAsia" w:ascii="Nimbus Roman No9 L" w:hAnsi="Nimbus Roman No9 L" w:eastAsia="仿宋_GB2312" w:cs="仿宋_GB2312"/>
          <w:b w:val="0"/>
          <w:bCs w:val="0"/>
          <w:color w:val="auto"/>
          <w:kern w:val="0"/>
          <w:sz w:val="32"/>
          <w:szCs w:val="32"/>
          <w:u w:val="none"/>
          <w:lang w:val="en-US" w:eastAsia="zh-CN" w:bidi="ar"/>
        </w:rPr>
        <w:t>（九）企业发起人或实际控制人不得先于财政支持资金退出或大额减持。</w:t>
      </w:r>
    </w:p>
    <w:p w14:paraId="14AF9F7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sz w:val="32"/>
          <w:szCs w:val="32"/>
          <w:u w:val="none"/>
        </w:rPr>
      </w:pPr>
      <w:r>
        <w:rPr>
          <w:rFonts w:hint="eastAsia" w:ascii="Nimbus Roman No9 L" w:hAnsi="Nimbus Roman No9 L" w:eastAsia="仿宋_GB2312" w:cs="仿宋_GB2312"/>
          <w:b w:val="0"/>
          <w:bCs w:val="0"/>
          <w:color w:val="auto"/>
          <w:kern w:val="0"/>
          <w:sz w:val="32"/>
          <w:szCs w:val="32"/>
          <w:u w:val="none"/>
          <w:lang w:val="en-US" w:eastAsia="zh-CN" w:bidi="ar"/>
        </w:rPr>
        <w:t>项目承担单位未履行上述职责的，视为违约。首次违约，责令限期30个工作日整改；逾期未整改或二次违约，终止项目、追回已拨付的财政支持资金。</w:t>
      </w:r>
    </w:p>
    <w:p w14:paraId="02480F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Nimbus Roman No9 L" w:hAnsi="Nimbus Roman No9 L" w:eastAsia="仿宋_GB2312" w:cs="仿宋_GB2312"/>
          <w:b w:val="0"/>
          <w:bCs w:val="0"/>
          <w:color w:val="auto"/>
          <w:sz w:val="32"/>
          <w:szCs w:val="32"/>
          <w:u w:val="none"/>
        </w:rPr>
      </w:pPr>
    </w:p>
    <w:p w14:paraId="3D89FC7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0" w:firstLineChars="0"/>
        <w:jc w:val="center"/>
        <w:textAlignment w:val="auto"/>
        <w:rPr>
          <w:rFonts w:hint="eastAsia" w:ascii="黑体" w:hAnsi="黑体" w:eastAsia="黑体" w:cs="黑体"/>
          <w:b w:val="0"/>
          <w:bCs w:val="0"/>
          <w:color w:val="auto"/>
          <w:sz w:val="32"/>
          <w:szCs w:val="32"/>
          <w:u w:val="none"/>
        </w:rPr>
      </w:pPr>
      <w:r>
        <w:rPr>
          <w:rFonts w:hint="eastAsia" w:ascii="黑体" w:hAnsi="黑体" w:eastAsia="黑体" w:cs="黑体"/>
          <w:b w:val="0"/>
          <w:bCs w:val="0"/>
          <w:color w:val="auto"/>
          <w:sz w:val="32"/>
          <w:szCs w:val="32"/>
          <w:u w:val="none"/>
          <w:lang w:val="en-US" w:eastAsia="zh-CN"/>
        </w:rPr>
        <w:t xml:space="preserve">第三章 </w:t>
      </w:r>
      <w:r>
        <w:rPr>
          <w:rFonts w:hint="eastAsia" w:ascii="黑体" w:hAnsi="黑体" w:eastAsia="黑体" w:cs="黑体"/>
          <w:b w:val="0"/>
          <w:bCs w:val="0"/>
          <w:color w:val="auto"/>
          <w:sz w:val="32"/>
          <w:szCs w:val="32"/>
          <w:u w:val="none"/>
        </w:rPr>
        <w:t>支持对象及标准</w:t>
      </w:r>
    </w:p>
    <w:p w14:paraId="6A64F8F8">
      <w:pPr>
        <w:rPr>
          <w:rFonts w:hint="eastAsia"/>
          <w:b w:val="0"/>
          <w:bCs w:val="0"/>
          <w:color w:val="auto"/>
          <w:u w:val="none"/>
        </w:rPr>
      </w:pPr>
    </w:p>
    <w:p w14:paraId="06B601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第十一条</w:t>
      </w:r>
      <w:r>
        <w:rPr>
          <w:rFonts w:hint="eastAsia" w:ascii="Nimbus Roman No9 L" w:hAnsi="Nimbus Roman No9 L" w:eastAsia="仿宋_GB2312" w:cs="仿宋_GB2312"/>
          <w:b w:val="0"/>
          <w:bCs w:val="0"/>
          <w:color w:val="auto"/>
          <w:kern w:val="0"/>
          <w:sz w:val="32"/>
          <w:szCs w:val="32"/>
          <w:u w:val="none"/>
          <w:lang w:val="en-US" w:eastAsia="zh-CN" w:bidi="ar"/>
        </w:rPr>
        <w:t xml:space="preserve"> 聚焦本市现代化产业体系建设，重点支持新一代信息技术、生物医药、航空航天、新能源新材料、循环经济等新兴产业，以及生物制造、低维材料、脑机接口、具身智能、智算超算、氢能与新型储能等未来产业重大创新项目。</w:t>
      </w:r>
    </w:p>
    <w:p w14:paraId="1B0598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第十二条</w:t>
      </w:r>
      <w:r>
        <w:rPr>
          <w:rFonts w:hint="eastAsia" w:ascii="Nimbus Roman No9 L" w:hAnsi="Nimbus Roman No9 L" w:eastAsia="仿宋_GB2312" w:cs="仿宋_GB2312"/>
          <w:b w:val="0"/>
          <w:bCs w:val="0"/>
          <w:color w:val="auto"/>
          <w:kern w:val="0"/>
          <w:sz w:val="32"/>
          <w:szCs w:val="32"/>
          <w:u w:val="none"/>
          <w:lang w:val="en-US" w:eastAsia="zh-CN" w:bidi="ar"/>
        </w:rPr>
        <w:t xml:space="preserve"> 申报企业（项目）应当具备以下条件：</w:t>
      </w:r>
    </w:p>
    <w:p w14:paraId="64B576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（一）依法注册，具有独立法人资格；</w:t>
      </w:r>
    </w:p>
    <w:p w14:paraId="75F35A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（二）</w:t>
      </w:r>
      <w:r>
        <w:rPr>
          <w:rFonts w:hint="eastAsia" w:ascii="Nimbus Roman No9 L" w:hAnsi="Nimbus Roman No9 L" w:eastAsia="仿宋_GB2312" w:cs="仿宋_GB2312"/>
          <w:b w:val="0"/>
          <w:bCs w:val="0"/>
          <w:color w:val="auto"/>
          <w:kern w:val="0"/>
          <w:sz w:val="32"/>
          <w:szCs w:val="32"/>
          <w:highlight w:val="none"/>
          <w:u w:val="none"/>
          <w:lang w:val="en-US" w:eastAsia="zh-CN" w:bidi="ar"/>
        </w:rPr>
        <w:t>企业成立时间不超过5年，项目以非自有成果开展转化的，企业净资产不低于200万元</w:t>
      </w:r>
      <w:r>
        <w:rPr>
          <w:rFonts w:hint="eastAsia" w:ascii="Nimbus Roman No9 L" w:hAnsi="Nimbus Roman No9 L" w:eastAsia="仿宋_GB2312" w:cs="仿宋_GB2312"/>
          <w:b w:val="0"/>
          <w:bCs w:val="0"/>
          <w:color w:val="auto"/>
          <w:kern w:val="0"/>
          <w:sz w:val="32"/>
          <w:szCs w:val="32"/>
          <w:u w:val="none"/>
          <w:lang w:val="en-US" w:eastAsia="zh-CN" w:bidi="ar"/>
        </w:rPr>
        <w:t>；</w:t>
      </w:r>
    </w:p>
    <w:p w14:paraId="63B36D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（三）企业（项目）相关知识产权权属清晰、无争议、无纠纷；</w:t>
      </w:r>
    </w:p>
    <w:p w14:paraId="410411F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（四）企业以及（项目）负责人无不良科研诚信记录；</w:t>
      </w:r>
    </w:p>
    <w:p w14:paraId="6184AF5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color w:val="auto"/>
          <w:u w:val="none"/>
        </w:rPr>
      </w:pPr>
      <w:r>
        <w:rPr>
          <w:rFonts w:hint="eastAsia" w:ascii="Nimbus Roman No9 L" w:hAnsi="Nimbus Roman No9 L" w:eastAsia="仿宋_GB2312" w:cs="仿宋_GB2312"/>
          <w:b w:val="0"/>
          <w:bCs w:val="0"/>
          <w:color w:val="auto"/>
          <w:kern w:val="0"/>
          <w:sz w:val="32"/>
          <w:szCs w:val="32"/>
          <w:u w:val="none"/>
          <w:lang w:val="en-US" w:eastAsia="zh-CN" w:bidi="ar"/>
        </w:rPr>
        <w:t>（五）同一研发内容、同一研究团队已获得市级财政科技资金支持的，不得重复申报；已获得市级“先投后股”支持的企业或项目负责人，不得再次申报。</w:t>
      </w:r>
    </w:p>
    <w:p w14:paraId="61FA59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default" w:ascii="Nimbus Roman No9 L" w:hAnsi="Nimbus Roman No9 L" w:eastAsia="仿宋_GB2312" w:cs="仿宋_GB2312"/>
          <w:b w:val="0"/>
          <w:bCs w:val="0"/>
          <w:color w:val="auto"/>
          <w:sz w:val="32"/>
          <w:szCs w:val="32"/>
          <w:highlight w:val="none"/>
          <w:u w:val="none"/>
          <w:lang w:val="en-US"/>
        </w:rPr>
      </w:pPr>
      <w:r>
        <w:rPr>
          <w:rFonts w:hint="eastAsia" w:ascii="黑体" w:hAnsi="黑体" w:eastAsia="黑体" w:cs="黑体"/>
          <w:b w:val="0"/>
          <w:bCs w:val="0"/>
          <w:color w:val="auto"/>
          <w:kern w:val="0"/>
          <w:sz w:val="32"/>
          <w:szCs w:val="32"/>
          <w:u w:val="none"/>
          <w:lang w:val="en-US" w:eastAsia="zh-CN" w:bidi="ar"/>
        </w:rPr>
        <w:t>第十三条</w:t>
      </w:r>
      <w:r>
        <w:rPr>
          <w:rFonts w:hint="eastAsia" w:ascii="Nimbus Roman No9 L" w:hAnsi="Nimbus Roman No9 L" w:eastAsia="仿宋_GB2312" w:cs="仿宋_GB2312"/>
          <w:b w:val="0"/>
          <w:bCs w:val="0"/>
          <w:color w:val="auto"/>
          <w:kern w:val="0"/>
          <w:sz w:val="32"/>
          <w:szCs w:val="32"/>
          <w:u w:val="none"/>
          <w:lang w:val="en-US" w:eastAsia="zh-CN" w:bidi="ar"/>
        </w:rPr>
        <w:t xml:space="preserve"> 单个项目财政支持资金不超过项目总投入的50%，且金额不超过500万元。项目立项后，财政支持资金</w:t>
      </w:r>
      <w:r>
        <w:rPr>
          <w:rFonts w:hint="eastAsia" w:ascii="Nimbus Roman No9 L" w:hAnsi="Nimbus Roman No9 L" w:eastAsia="仿宋_GB2312" w:cs="仿宋_GB2312"/>
          <w:b w:val="0"/>
          <w:bCs w:val="0"/>
          <w:color w:val="auto"/>
          <w:kern w:val="0"/>
          <w:sz w:val="32"/>
          <w:szCs w:val="32"/>
          <w:highlight w:val="none"/>
          <w:u w:val="none"/>
          <w:lang w:val="en-US" w:eastAsia="zh-CN" w:bidi="ar"/>
        </w:rPr>
        <w:t>以一次性或分阶段两种形式拨付至项目承担单位。</w:t>
      </w:r>
    </w:p>
    <w:p w14:paraId="0F7337F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Nimbus Roman No9 L" w:hAnsi="Nimbus Roman No9 L" w:eastAsia="仿宋_GB2312" w:cs="仿宋_GB2312"/>
          <w:b w:val="0"/>
          <w:bCs w:val="0"/>
          <w:color w:val="auto"/>
          <w:sz w:val="32"/>
          <w:szCs w:val="32"/>
          <w:u w:val="none"/>
        </w:rPr>
      </w:pPr>
    </w:p>
    <w:p w14:paraId="3D171B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0" w:firstLineChars="0"/>
        <w:jc w:val="center"/>
        <w:textAlignment w:val="auto"/>
        <w:rPr>
          <w:rFonts w:hint="eastAsia" w:ascii="黑体" w:hAnsi="黑体" w:eastAsia="黑体" w:cs="黑体"/>
          <w:b w:val="0"/>
          <w:bCs w:val="0"/>
          <w:color w:val="auto"/>
          <w:sz w:val="32"/>
          <w:szCs w:val="32"/>
          <w:u w:val="none"/>
        </w:rPr>
      </w:pPr>
      <w:r>
        <w:rPr>
          <w:rFonts w:hint="eastAsia" w:ascii="黑体" w:hAnsi="黑体" w:eastAsia="黑体" w:cs="黑体"/>
          <w:b w:val="0"/>
          <w:bCs w:val="0"/>
          <w:color w:val="auto"/>
          <w:sz w:val="32"/>
          <w:szCs w:val="32"/>
          <w:u w:val="none"/>
        </w:rPr>
        <w:t>第四章</w:t>
      </w:r>
      <w:r>
        <w:rPr>
          <w:rFonts w:hint="eastAsia" w:ascii="黑体" w:hAnsi="黑体" w:eastAsia="黑体" w:cs="黑体"/>
          <w:b w:val="0"/>
          <w:bCs w:val="0"/>
          <w:color w:val="auto"/>
          <w:sz w:val="32"/>
          <w:szCs w:val="32"/>
          <w:u w:val="none"/>
          <w:lang w:val="en-US" w:eastAsia="zh-CN"/>
        </w:rPr>
        <w:t xml:space="preserve"> </w:t>
      </w:r>
      <w:r>
        <w:rPr>
          <w:rFonts w:hint="eastAsia" w:ascii="黑体" w:hAnsi="黑体" w:eastAsia="黑体" w:cs="黑体"/>
          <w:b w:val="0"/>
          <w:bCs w:val="0"/>
          <w:color w:val="auto"/>
          <w:sz w:val="32"/>
          <w:szCs w:val="32"/>
          <w:u w:val="none"/>
        </w:rPr>
        <w:t>“先投”阶段</w:t>
      </w:r>
    </w:p>
    <w:p w14:paraId="3D47BBD5">
      <w:pPr>
        <w:rPr>
          <w:rFonts w:hint="eastAsia"/>
          <w:b w:val="0"/>
          <w:bCs w:val="0"/>
          <w:color w:val="auto"/>
          <w:u w:val="none"/>
        </w:rPr>
      </w:pPr>
    </w:p>
    <w:p w14:paraId="111D10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第十四条</w:t>
      </w:r>
      <w:r>
        <w:rPr>
          <w:rFonts w:hint="eastAsia" w:ascii="Nimbus Roman No9 L" w:hAnsi="Nimbus Roman No9 L" w:eastAsia="仿宋_GB2312" w:cs="仿宋_GB2312"/>
          <w:b w:val="0"/>
          <w:bCs w:val="0"/>
          <w:color w:val="auto"/>
          <w:kern w:val="0"/>
          <w:sz w:val="32"/>
          <w:szCs w:val="32"/>
          <w:u w:val="none"/>
          <w:lang w:val="en-US" w:eastAsia="zh-CN" w:bidi="ar"/>
        </w:rPr>
        <w:t xml:space="preserve"> “先投”阶段流程为：申报与受理—评审与立项—实施管理—验收。</w:t>
      </w:r>
    </w:p>
    <w:p w14:paraId="5DE2E7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第十五条</w:t>
      </w:r>
      <w:r>
        <w:rPr>
          <w:rFonts w:hint="eastAsia" w:ascii="Nimbus Roman No9 L" w:hAnsi="Nimbus Roman No9 L" w:eastAsia="仿宋_GB2312" w:cs="仿宋_GB2312"/>
          <w:b w:val="0"/>
          <w:bCs w:val="0"/>
          <w:color w:val="auto"/>
          <w:kern w:val="0"/>
          <w:sz w:val="32"/>
          <w:szCs w:val="32"/>
          <w:u w:val="none"/>
          <w:lang w:val="en-US" w:eastAsia="zh-CN" w:bidi="ar"/>
        </w:rPr>
        <w:t xml:space="preserve"> 申报企业按要求填写项目申报书，项目负责人应为企业发起人或实际控制人，经</w:t>
      </w:r>
      <w:r>
        <w:rPr>
          <w:rFonts w:hint="eastAsia" w:ascii="Nimbus Roman No9 L" w:hAnsi="Nimbus Roman No9 L" w:eastAsia="仿宋_GB2312" w:cs="仿宋_GB2312"/>
          <w:b w:val="0"/>
          <w:bCs w:val="0"/>
          <w:color w:val="auto"/>
          <w:kern w:val="0"/>
          <w:sz w:val="32"/>
          <w:szCs w:val="32"/>
          <w:highlight w:val="none"/>
          <w:u w:val="none"/>
          <w:lang w:val="en-US" w:eastAsia="zh-CN" w:bidi="ar"/>
        </w:rPr>
        <w:t>企业注册地所在区</w:t>
      </w:r>
      <w:r>
        <w:rPr>
          <w:rFonts w:hint="eastAsia" w:ascii="Nimbus Roman No9 L" w:hAnsi="Nimbus Roman No9 L" w:eastAsia="仿宋_GB2312" w:cs="仿宋_GB2312"/>
          <w:b w:val="0"/>
          <w:bCs w:val="0"/>
          <w:color w:val="auto"/>
          <w:kern w:val="0"/>
          <w:sz w:val="32"/>
          <w:szCs w:val="32"/>
          <w:u w:val="none"/>
          <w:lang w:val="en-US" w:eastAsia="zh-CN" w:bidi="ar"/>
        </w:rPr>
        <w:t>（包括功能区）</w:t>
      </w:r>
      <w:r>
        <w:rPr>
          <w:rFonts w:hint="eastAsia" w:ascii="Nimbus Roman No9 L" w:hAnsi="Nimbus Roman No9 L" w:eastAsia="仿宋_GB2312" w:cs="仿宋_GB2312"/>
          <w:b w:val="0"/>
          <w:bCs w:val="0"/>
          <w:color w:val="auto"/>
          <w:kern w:val="0"/>
          <w:sz w:val="32"/>
          <w:szCs w:val="32"/>
          <w:highlight w:val="none"/>
          <w:u w:val="none"/>
          <w:lang w:val="en-US" w:eastAsia="zh-CN" w:bidi="ar"/>
        </w:rPr>
        <w:t>科技行政部门审查推荐后报送至市科技局。各区（包括功能区）科技行政部门</w:t>
      </w:r>
      <w:r>
        <w:rPr>
          <w:rFonts w:hint="eastAsia" w:ascii="Nimbus Roman No9 L" w:hAnsi="Nimbus Roman No9 L" w:eastAsia="仿宋_GB2312" w:cs="仿宋_GB2312"/>
          <w:b w:val="0"/>
          <w:bCs w:val="0"/>
          <w:color w:val="auto"/>
          <w:kern w:val="0"/>
          <w:sz w:val="32"/>
          <w:szCs w:val="32"/>
          <w:u w:val="none"/>
          <w:lang w:val="en-US" w:eastAsia="zh-CN" w:bidi="ar"/>
        </w:rPr>
        <w:t>应出具推荐函。</w:t>
      </w:r>
    </w:p>
    <w:p w14:paraId="203CDEC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color w:val="auto"/>
          <w:u w:val="none"/>
        </w:rPr>
      </w:pPr>
      <w:r>
        <w:rPr>
          <w:rFonts w:hint="eastAsia" w:ascii="黑体" w:hAnsi="黑体" w:eastAsia="黑体" w:cs="黑体"/>
          <w:b w:val="0"/>
          <w:bCs w:val="0"/>
          <w:color w:val="auto"/>
          <w:kern w:val="0"/>
          <w:sz w:val="32"/>
          <w:szCs w:val="32"/>
          <w:u w:val="none"/>
          <w:lang w:val="en-US" w:eastAsia="zh-CN" w:bidi="ar"/>
        </w:rPr>
        <w:t>第十六条</w:t>
      </w:r>
      <w:r>
        <w:rPr>
          <w:rFonts w:hint="eastAsia" w:ascii="Nimbus Roman No9 L" w:hAnsi="Nimbus Roman No9 L" w:eastAsia="仿宋_GB2312" w:cs="仿宋_GB2312"/>
          <w:b w:val="0"/>
          <w:bCs w:val="0"/>
          <w:color w:val="auto"/>
          <w:kern w:val="0"/>
          <w:sz w:val="32"/>
          <w:szCs w:val="32"/>
          <w:u w:val="none"/>
          <w:lang w:val="en-US" w:eastAsia="zh-CN" w:bidi="ar"/>
        </w:rPr>
        <w:t xml:space="preserve"> 项目评审专家由科技、产业、金融投资、财务等领域专业人员组成，重点评估项目技术先进性、产业前景、投资价值及实施能力。</w:t>
      </w:r>
    </w:p>
    <w:p w14:paraId="1B1EBC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color w:val="auto"/>
          <w:u w:val="none"/>
        </w:rPr>
      </w:pPr>
      <w:r>
        <w:rPr>
          <w:rFonts w:hint="eastAsia" w:ascii="黑体" w:hAnsi="黑体" w:eastAsia="黑体" w:cs="黑体"/>
          <w:b w:val="0"/>
          <w:bCs w:val="0"/>
          <w:color w:val="auto"/>
          <w:kern w:val="0"/>
          <w:sz w:val="32"/>
          <w:szCs w:val="32"/>
          <w:u w:val="none"/>
          <w:lang w:val="en-US" w:eastAsia="zh-CN" w:bidi="ar"/>
        </w:rPr>
        <w:t>第十七条</w:t>
      </w:r>
      <w:r>
        <w:rPr>
          <w:rFonts w:hint="eastAsia" w:ascii="Nimbus Roman No9 L" w:hAnsi="Nimbus Roman No9 L" w:eastAsia="仿宋_GB2312" w:cs="仿宋_GB2312"/>
          <w:b w:val="0"/>
          <w:bCs w:val="0"/>
          <w:color w:val="auto"/>
          <w:kern w:val="0"/>
          <w:sz w:val="32"/>
          <w:szCs w:val="32"/>
          <w:u w:val="none"/>
          <w:lang w:val="en-US" w:eastAsia="zh-CN" w:bidi="ar"/>
        </w:rPr>
        <w:t xml:space="preserve"> 创新中心统筹组织投资平台开展实地核查、尽职调查等，形成尽职调查报告。</w:t>
      </w:r>
    </w:p>
    <w:p w14:paraId="640B75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color w:val="auto"/>
          <w:u w:val="none"/>
        </w:rPr>
      </w:pPr>
      <w:r>
        <w:rPr>
          <w:rFonts w:hint="eastAsia" w:ascii="黑体" w:hAnsi="黑体" w:eastAsia="黑体" w:cs="黑体"/>
          <w:b w:val="0"/>
          <w:bCs w:val="0"/>
          <w:color w:val="auto"/>
          <w:kern w:val="0"/>
          <w:sz w:val="32"/>
          <w:szCs w:val="32"/>
          <w:u w:val="none"/>
          <w:lang w:val="en-US" w:eastAsia="zh-CN" w:bidi="ar"/>
        </w:rPr>
        <w:t>第十八条</w:t>
      </w:r>
      <w:r>
        <w:rPr>
          <w:rFonts w:hint="eastAsia" w:ascii="Nimbus Roman No9 L" w:hAnsi="Nimbus Roman No9 L" w:eastAsia="仿宋_GB2312" w:cs="仿宋_GB2312"/>
          <w:b w:val="0"/>
          <w:bCs w:val="0"/>
          <w:color w:val="auto"/>
          <w:kern w:val="0"/>
          <w:sz w:val="32"/>
          <w:szCs w:val="32"/>
          <w:u w:val="none"/>
          <w:lang w:val="en-US" w:eastAsia="zh-CN" w:bidi="ar"/>
        </w:rPr>
        <w:t xml:space="preserve"> 市科技局局长办公会依据专家评审意见与尽职调查报告审定拟立项项目，经公示无异议后下达立项通知。相关方签订《项目任务合同书》《股权认购选择权授予协议》，明确各方权利义务、转股条件、权益代持安排及退出方式。项目承担单位未按期签约的，视为自动放弃立项。</w:t>
      </w:r>
    </w:p>
    <w:p w14:paraId="329C40A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color w:val="auto"/>
          <w:u w:val="none"/>
        </w:rPr>
      </w:pPr>
      <w:r>
        <w:rPr>
          <w:rFonts w:hint="eastAsia" w:ascii="黑体" w:hAnsi="黑体" w:eastAsia="黑体" w:cs="黑体"/>
          <w:b w:val="0"/>
          <w:bCs w:val="0"/>
          <w:color w:val="auto"/>
          <w:kern w:val="0"/>
          <w:sz w:val="32"/>
          <w:szCs w:val="32"/>
          <w:u w:val="none"/>
          <w:lang w:val="en-US" w:eastAsia="zh-CN" w:bidi="ar"/>
        </w:rPr>
        <w:t>第十九条</w:t>
      </w:r>
      <w:r>
        <w:rPr>
          <w:rFonts w:hint="eastAsia" w:ascii="Nimbus Roman No9 L" w:hAnsi="Nimbus Roman No9 L" w:eastAsia="仿宋_GB2312" w:cs="仿宋_GB2312"/>
          <w:b w:val="0"/>
          <w:bCs w:val="0"/>
          <w:color w:val="auto"/>
          <w:kern w:val="0"/>
          <w:sz w:val="32"/>
          <w:szCs w:val="32"/>
          <w:u w:val="none"/>
          <w:lang w:val="en-US" w:eastAsia="zh-CN" w:bidi="ar"/>
        </w:rPr>
        <w:t xml:space="preserve"> 《项目任务合同书》签订后，市科技局联合市财政局拨付项目支持资金，</w:t>
      </w:r>
      <w:r>
        <w:rPr>
          <w:rFonts w:hint="eastAsia" w:ascii="Nimbus Roman No9 L" w:hAnsi="Nimbus Roman No9 L" w:eastAsia="仿宋_GB2312" w:cs="仿宋_GB2312"/>
          <w:b w:val="0"/>
          <w:bCs w:val="0"/>
          <w:color w:val="auto"/>
          <w:kern w:val="0"/>
          <w:sz w:val="32"/>
          <w:szCs w:val="32"/>
          <w:highlight w:val="none"/>
          <w:u w:val="none"/>
          <w:lang w:val="en-US" w:eastAsia="zh-CN" w:bidi="ar"/>
        </w:rPr>
        <w:t>资金拨付渠道为市财政局</w:t>
      </w:r>
      <w:r>
        <w:rPr>
          <w:rFonts w:hint="eastAsia" w:ascii="仿宋_GB2312" w:hAnsi="仿宋_GB2312" w:eastAsia="仿宋_GB2312" w:cs="仿宋_GB2312"/>
          <w:b w:val="0"/>
          <w:bCs w:val="0"/>
          <w:color w:val="auto"/>
          <w:kern w:val="0"/>
          <w:sz w:val="32"/>
          <w:szCs w:val="32"/>
          <w:highlight w:val="none"/>
          <w:u w:val="none"/>
          <w:lang w:val="en-US" w:eastAsia="zh-CN" w:bidi="ar"/>
        </w:rPr>
        <w:t>→市科技局→创新中心→投资平台→项目承担单位</w:t>
      </w:r>
      <w:r>
        <w:rPr>
          <w:rFonts w:hint="eastAsia" w:ascii="Nimbus Roman No9 L" w:hAnsi="Nimbus Roman No9 L" w:eastAsia="仿宋_GB2312" w:cs="仿宋_GB2312"/>
          <w:b w:val="0"/>
          <w:bCs w:val="0"/>
          <w:color w:val="auto"/>
          <w:kern w:val="0"/>
          <w:sz w:val="32"/>
          <w:szCs w:val="32"/>
          <w:highlight w:val="none"/>
          <w:u w:val="none"/>
          <w:lang w:val="en-US" w:eastAsia="zh-CN" w:bidi="ar"/>
        </w:rPr>
        <w:t>。</w:t>
      </w:r>
    </w:p>
    <w:p w14:paraId="6834DE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color w:val="auto"/>
          <w:u w:val="none"/>
        </w:rPr>
      </w:pPr>
      <w:r>
        <w:rPr>
          <w:rFonts w:hint="eastAsia" w:ascii="黑体" w:hAnsi="黑体" w:eastAsia="黑体" w:cs="黑体"/>
          <w:b w:val="0"/>
          <w:bCs w:val="0"/>
          <w:color w:val="auto"/>
          <w:kern w:val="0"/>
          <w:sz w:val="32"/>
          <w:szCs w:val="32"/>
          <w:u w:val="none"/>
          <w:lang w:val="en-US" w:eastAsia="zh-CN" w:bidi="ar"/>
        </w:rPr>
        <w:t>第二十条</w:t>
      </w:r>
      <w:r>
        <w:rPr>
          <w:rFonts w:hint="eastAsia" w:ascii="Nimbus Roman No9 L" w:hAnsi="Nimbus Roman No9 L" w:eastAsia="仿宋_GB2312" w:cs="仿宋_GB2312"/>
          <w:b w:val="0"/>
          <w:bCs w:val="0"/>
          <w:color w:val="auto"/>
          <w:kern w:val="0"/>
          <w:sz w:val="32"/>
          <w:szCs w:val="32"/>
          <w:u w:val="none"/>
          <w:lang w:val="en-US" w:eastAsia="zh-CN" w:bidi="ar"/>
        </w:rPr>
        <w:t xml:space="preserve"> “先投”阶段项目执行期限一般不超</w:t>
      </w:r>
      <w:r>
        <w:rPr>
          <w:rFonts w:hint="eastAsia" w:ascii="Nimbus Roman No9 L" w:hAnsi="Nimbus Roman No9 L" w:eastAsia="仿宋_GB2312" w:cs="仿宋_GB2312"/>
          <w:b w:val="0"/>
          <w:bCs w:val="0"/>
          <w:color w:val="auto"/>
          <w:kern w:val="0"/>
          <w:sz w:val="32"/>
          <w:szCs w:val="32"/>
          <w:highlight w:val="none"/>
          <w:u w:val="none"/>
          <w:lang w:val="en-US" w:eastAsia="zh-CN" w:bidi="ar"/>
        </w:rPr>
        <w:t>过2年</w:t>
      </w:r>
      <w:r>
        <w:rPr>
          <w:rFonts w:hint="eastAsia" w:ascii="Nimbus Roman No9 L" w:hAnsi="Nimbus Roman No9 L" w:eastAsia="仿宋_GB2312" w:cs="仿宋_GB2312"/>
          <w:b w:val="0"/>
          <w:bCs w:val="0"/>
          <w:color w:val="auto"/>
          <w:kern w:val="0"/>
          <w:sz w:val="32"/>
          <w:szCs w:val="32"/>
          <w:u w:val="none"/>
          <w:lang w:val="en-US" w:eastAsia="zh-CN" w:bidi="ar"/>
        </w:rPr>
        <w:t>。</w:t>
      </w:r>
    </w:p>
    <w:p w14:paraId="3B766C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第二十一条</w:t>
      </w:r>
      <w:r>
        <w:rPr>
          <w:rFonts w:hint="eastAsia" w:ascii="Nimbus Roman No9 L" w:hAnsi="Nimbus Roman No9 L" w:eastAsia="仿宋_GB2312" w:cs="仿宋_GB2312"/>
          <w:b w:val="0"/>
          <w:bCs w:val="0"/>
          <w:color w:val="auto"/>
          <w:kern w:val="0"/>
          <w:sz w:val="32"/>
          <w:szCs w:val="32"/>
          <w:u w:val="none"/>
          <w:lang w:val="en-US" w:eastAsia="zh-CN" w:bidi="ar"/>
        </w:rPr>
        <w:t xml:space="preserve"> “先投”阶段达到以下任一条件，即认定为</w:t>
      </w:r>
      <w:r>
        <w:rPr>
          <w:rStyle w:val="12"/>
          <w:rFonts w:hint="eastAsia" w:ascii="Nimbus Roman No9 L" w:hAnsi="Nimbus Roman No9 L" w:eastAsia="仿宋_GB2312" w:cs="仿宋_GB2312"/>
          <w:b w:val="0"/>
          <w:bCs w:val="0"/>
          <w:color w:val="auto"/>
          <w:kern w:val="0"/>
          <w:sz w:val="32"/>
          <w:szCs w:val="32"/>
          <w:u w:val="none"/>
          <w:lang w:val="en-US" w:eastAsia="zh-CN" w:bidi="ar"/>
        </w:rPr>
        <w:t>达到转股条件</w:t>
      </w:r>
      <w:r>
        <w:rPr>
          <w:rFonts w:hint="eastAsia" w:ascii="Nimbus Roman No9 L" w:hAnsi="Nimbus Roman No9 L" w:eastAsia="仿宋_GB2312" w:cs="仿宋_GB2312"/>
          <w:b w:val="0"/>
          <w:bCs w:val="0"/>
          <w:color w:val="auto"/>
          <w:kern w:val="0"/>
          <w:sz w:val="32"/>
          <w:szCs w:val="32"/>
          <w:u w:val="none"/>
          <w:lang w:val="en-US" w:eastAsia="zh-CN" w:bidi="ar"/>
        </w:rPr>
        <w:t>：</w:t>
      </w:r>
    </w:p>
    <w:p w14:paraId="60265D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（一）项目执行期内，累计获得市场化股权融资达到项目支持资金的3倍及以上；</w:t>
      </w:r>
    </w:p>
    <w:p w14:paraId="4E4964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（二）项目执行期内，项目产品或服务实现销售，累计营业收入达到项目支持资金的2倍及以上；</w:t>
      </w:r>
    </w:p>
    <w:p w14:paraId="108DFD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（三）按照我市科技计划项目验收有关规定，项目执行期满后6个月内完成验收，且验收结论为通过。</w:t>
      </w:r>
    </w:p>
    <w:p w14:paraId="1A6452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第二十二条</w:t>
      </w:r>
      <w:r>
        <w:rPr>
          <w:rFonts w:hint="eastAsia" w:ascii="Nimbus Roman No9 L" w:hAnsi="Nimbus Roman No9 L" w:eastAsia="仿宋_GB2312" w:cs="仿宋_GB2312"/>
          <w:b w:val="0"/>
          <w:bCs w:val="0"/>
          <w:color w:val="auto"/>
          <w:kern w:val="0"/>
          <w:sz w:val="32"/>
          <w:szCs w:val="32"/>
          <w:u w:val="none"/>
          <w:lang w:val="en-US" w:eastAsia="zh-CN" w:bidi="ar"/>
        </w:rPr>
        <w:t xml:space="preserve"> </w:t>
      </w:r>
      <w:r>
        <w:rPr>
          <w:rFonts w:hint="eastAsia" w:ascii="Nimbus Roman No9 L" w:hAnsi="Nimbus Roman No9 L" w:eastAsia="仿宋_GB2312" w:cs="仿宋_GB2312"/>
          <w:b w:val="0"/>
          <w:bCs w:val="0"/>
          <w:color w:val="auto"/>
          <w:kern w:val="0"/>
          <w:sz w:val="32"/>
          <w:szCs w:val="32"/>
          <w:highlight w:val="none"/>
          <w:u w:val="none"/>
          <w:lang w:val="en-US" w:eastAsia="zh-CN" w:bidi="ar"/>
        </w:rPr>
        <w:t>达到转股条</w:t>
      </w:r>
      <w:r>
        <w:rPr>
          <w:rFonts w:hint="eastAsia" w:ascii="Nimbus Roman No9 L" w:hAnsi="Nimbus Roman No9 L" w:eastAsia="仿宋_GB2312" w:cs="仿宋_GB2312"/>
          <w:b w:val="0"/>
          <w:bCs w:val="0"/>
          <w:color w:val="auto"/>
          <w:kern w:val="0"/>
          <w:sz w:val="32"/>
          <w:szCs w:val="32"/>
          <w:u w:val="none"/>
          <w:lang w:val="en-US" w:eastAsia="zh-CN" w:bidi="ar"/>
        </w:rPr>
        <w:t>件后，由</w:t>
      </w:r>
      <w:r>
        <w:rPr>
          <w:rFonts w:hint="eastAsia" w:ascii="Nimbus Roman No9 L" w:hAnsi="Nimbus Roman No9 L" w:eastAsia="仿宋_GB2312" w:cs="仿宋_GB2312"/>
          <w:b w:val="0"/>
          <w:bCs w:val="0"/>
          <w:color w:val="auto"/>
          <w:kern w:val="0"/>
          <w:sz w:val="32"/>
          <w:szCs w:val="32"/>
          <w:highlight w:val="none"/>
          <w:u w:val="none"/>
          <w:lang w:val="en-US" w:eastAsia="zh-CN" w:bidi="ar"/>
        </w:rPr>
        <w:t>投资平台代</w:t>
      </w:r>
      <w:r>
        <w:rPr>
          <w:rFonts w:hint="eastAsia" w:ascii="Nimbus Roman No9 L" w:hAnsi="Nimbus Roman No9 L" w:eastAsia="仿宋_GB2312" w:cs="仿宋_GB2312"/>
          <w:b w:val="0"/>
          <w:bCs w:val="0"/>
          <w:color w:val="auto"/>
          <w:kern w:val="0"/>
          <w:sz w:val="32"/>
          <w:szCs w:val="32"/>
          <w:u w:val="none"/>
          <w:lang w:val="en-US" w:eastAsia="zh-CN" w:bidi="ar"/>
        </w:rPr>
        <w:t>为行使认股权，</w:t>
      </w:r>
      <w:r>
        <w:rPr>
          <w:rFonts w:hint="eastAsia" w:ascii="Nimbus Roman No9 L" w:hAnsi="Nimbus Roman No9 L" w:eastAsia="仿宋_GB2312" w:cs="仿宋_GB2312"/>
          <w:b w:val="0"/>
          <w:bCs w:val="0"/>
          <w:color w:val="auto"/>
          <w:kern w:val="0"/>
          <w:sz w:val="32"/>
          <w:szCs w:val="32"/>
          <w:highlight w:val="none"/>
          <w:u w:val="none"/>
          <w:lang w:val="en-US" w:eastAsia="zh-CN" w:bidi="ar"/>
        </w:rPr>
        <w:t>行权期</w:t>
      </w:r>
      <w:r>
        <w:rPr>
          <w:rFonts w:hint="eastAsia" w:ascii="Nimbus Roman No9 L" w:hAnsi="Nimbus Roman No9 L" w:eastAsia="仿宋_GB2312" w:cs="仿宋_GB2312"/>
          <w:b w:val="0"/>
          <w:bCs w:val="0"/>
          <w:color w:val="auto"/>
          <w:kern w:val="0"/>
          <w:sz w:val="32"/>
          <w:szCs w:val="32"/>
          <w:u w:val="none"/>
          <w:lang w:val="en-US" w:eastAsia="zh-CN" w:bidi="ar"/>
        </w:rPr>
        <w:t>一般不超过5年，最长可约定10年。项目执行期内</w:t>
      </w:r>
      <w:r>
        <w:rPr>
          <w:rFonts w:hint="eastAsia" w:ascii="Nimbus Roman No9 L" w:hAnsi="Nimbus Roman No9 L" w:eastAsia="仿宋_GB2312" w:cs="仿宋_GB2312"/>
          <w:b w:val="0"/>
          <w:bCs w:val="0"/>
          <w:color w:val="auto"/>
          <w:kern w:val="0"/>
          <w:sz w:val="32"/>
          <w:szCs w:val="32"/>
          <w:highlight w:val="none"/>
          <w:u w:val="none"/>
          <w:lang w:val="en-US" w:eastAsia="zh-CN" w:bidi="ar"/>
        </w:rPr>
        <w:t>提前达到转股条件</w:t>
      </w:r>
      <w:r>
        <w:rPr>
          <w:rFonts w:hint="eastAsia" w:ascii="Nimbus Roman No9 L" w:hAnsi="Nimbus Roman No9 L" w:eastAsia="仿宋_GB2312" w:cs="仿宋_GB2312"/>
          <w:b w:val="0"/>
          <w:bCs w:val="0"/>
          <w:color w:val="auto"/>
          <w:kern w:val="0"/>
          <w:sz w:val="32"/>
          <w:szCs w:val="32"/>
          <w:u w:val="none"/>
          <w:lang w:val="en-US" w:eastAsia="zh-CN" w:bidi="ar"/>
        </w:rPr>
        <w:t>的，视同验收通过，不再另行组织验收。</w:t>
      </w:r>
    </w:p>
    <w:p w14:paraId="646B62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default" w:ascii="Nimbus Roman No9 L" w:hAnsi="Nimbus Roman No9 L" w:eastAsia="仿宋_GB2312" w:cs="仿宋_GB2312"/>
          <w:b w:val="0"/>
          <w:bCs w:val="0"/>
          <w:color w:val="auto"/>
          <w:kern w:val="0"/>
          <w:sz w:val="32"/>
          <w:szCs w:val="32"/>
          <w:highlight w:val="yellow"/>
          <w:u w:val="none"/>
          <w:lang w:val="en-US" w:eastAsia="zh-CN" w:bidi="ar"/>
        </w:rPr>
      </w:pPr>
      <w:r>
        <w:rPr>
          <w:rFonts w:hint="eastAsia" w:ascii="Nimbus Roman No9 L" w:hAnsi="Nimbus Roman No9 L" w:eastAsia="仿宋_GB2312" w:cs="仿宋_GB2312"/>
          <w:b w:val="0"/>
          <w:bCs w:val="0"/>
          <w:color w:val="auto"/>
          <w:kern w:val="0"/>
          <w:sz w:val="32"/>
          <w:szCs w:val="32"/>
          <w:highlight w:val="none"/>
          <w:u w:val="none"/>
          <w:lang w:val="en-US" w:eastAsia="zh-CN" w:bidi="ar"/>
        </w:rPr>
        <w:t>项目终止、撤项、未通过验收，或拨款6个月后项目仍未实质开展的，原则上由项目承担单位全额退回已拨付的财政支持资金。</w:t>
      </w:r>
    </w:p>
    <w:p w14:paraId="48A0D6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Nimbus Roman No9 L" w:hAnsi="Nimbus Roman No9 L" w:eastAsia="仿宋_GB2312" w:cs="仿宋_GB2312"/>
          <w:b w:val="0"/>
          <w:bCs w:val="0"/>
          <w:color w:val="auto"/>
          <w:sz w:val="32"/>
          <w:szCs w:val="32"/>
          <w:u w:val="none"/>
        </w:rPr>
      </w:pPr>
    </w:p>
    <w:p w14:paraId="396055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0" w:firstLineChars="0"/>
        <w:jc w:val="center"/>
        <w:textAlignment w:val="auto"/>
        <w:rPr>
          <w:rFonts w:hint="eastAsia" w:ascii="黑体" w:hAnsi="黑体" w:eastAsia="黑体" w:cs="黑体"/>
          <w:b w:val="0"/>
          <w:bCs w:val="0"/>
          <w:color w:val="auto"/>
          <w:sz w:val="32"/>
          <w:szCs w:val="32"/>
          <w:u w:val="none"/>
        </w:rPr>
      </w:pPr>
      <w:r>
        <w:rPr>
          <w:rFonts w:hint="eastAsia" w:ascii="黑体" w:hAnsi="黑体" w:eastAsia="黑体" w:cs="黑体"/>
          <w:b w:val="0"/>
          <w:bCs w:val="0"/>
          <w:color w:val="auto"/>
          <w:sz w:val="32"/>
          <w:szCs w:val="32"/>
          <w:u w:val="none"/>
        </w:rPr>
        <w:t>第五章</w:t>
      </w:r>
      <w:r>
        <w:rPr>
          <w:rFonts w:hint="eastAsia" w:ascii="黑体" w:hAnsi="黑体" w:eastAsia="黑体" w:cs="黑体"/>
          <w:b w:val="0"/>
          <w:bCs w:val="0"/>
          <w:color w:val="auto"/>
          <w:sz w:val="32"/>
          <w:szCs w:val="32"/>
          <w:u w:val="none"/>
          <w:lang w:val="en-US" w:eastAsia="zh-CN"/>
        </w:rPr>
        <w:t xml:space="preserve"> </w:t>
      </w:r>
      <w:r>
        <w:rPr>
          <w:rFonts w:hint="eastAsia" w:ascii="黑体" w:hAnsi="黑体" w:eastAsia="黑体" w:cs="黑体"/>
          <w:b w:val="0"/>
          <w:bCs w:val="0"/>
          <w:color w:val="auto"/>
          <w:sz w:val="32"/>
          <w:szCs w:val="32"/>
          <w:u w:val="none"/>
        </w:rPr>
        <w:t>“后股”阶段</w:t>
      </w:r>
    </w:p>
    <w:p w14:paraId="209BB8C6">
      <w:pPr>
        <w:rPr>
          <w:rFonts w:hint="eastAsia"/>
          <w:b w:val="0"/>
          <w:bCs w:val="0"/>
          <w:color w:val="auto"/>
          <w:u w:val="none"/>
        </w:rPr>
      </w:pPr>
    </w:p>
    <w:p w14:paraId="1846FB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第二十三条</w:t>
      </w:r>
      <w:r>
        <w:rPr>
          <w:rFonts w:hint="eastAsia" w:ascii="Nimbus Roman No9 L" w:hAnsi="Nimbus Roman No9 L" w:eastAsia="仿宋_GB2312" w:cs="仿宋_GB2312"/>
          <w:b w:val="0"/>
          <w:bCs w:val="0"/>
          <w:color w:val="auto"/>
          <w:kern w:val="0"/>
          <w:sz w:val="32"/>
          <w:szCs w:val="32"/>
          <w:u w:val="none"/>
          <w:lang w:val="en-US" w:eastAsia="zh-CN" w:bidi="ar"/>
        </w:rPr>
        <w:t xml:space="preserve"> 达到转股条件后，投资平台提出转股及代持方案，经创新中心审核确认，报市科技局审批后，在行权期内完成股权转化，由投资平台代为持有股权。</w:t>
      </w:r>
    </w:p>
    <w:p w14:paraId="2B07B6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color w:val="auto"/>
          <w:u w:val="none"/>
        </w:rPr>
      </w:pPr>
      <w:r>
        <w:rPr>
          <w:rFonts w:hint="eastAsia" w:ascii="黑体" w:hAnsi="黑体" w:eastAsia="黑体" w:cs="黑体"/>
          <w:b w:val="0"/>
          <w:bCs w:val="0"/>
          <w:color w:val="auto"/>
          <w:kern w:val="0"/>
          <w:sz w:val="32"/>
          <w:szCs w:val="32"/>
          <w:u w:val="none"/>
          <w:lang w:val="en-US" w:eastAsia="zh-CN" w:bidi="ar"/>
        </w:rPr>
        <w:t>第二十四条</w:t>
      </w:r>
      <w:r>
        <w:rPr>
          <w:rFonts w:hint="eastAsia" w:ascii="Nimbus Roman No9 L" w:hAnsi="Nimbus Roman No9 L" w:eastAsia="仿宋_GB2312" w:cs="仿宋_GB2312"/>
          <w:b w:val="0"/>
          <w:bCs w:val="0"/>
          <w:color w:val="auto"/>
          <w:kern w:val="0"/>
          <w:sz w:val="32"/>
          <w:szCs w:val="32"/>
          <w:u w:val="none"/>
          <w:lang w:val="en-US" w:eastAsia="zh-CN" w:bidi="ar"/>
        </w:rPr>
        <w:t xml:space="preserve"> 持股比例按照以下方式计算：股权比例=（项目支持资金×1.5倍）÷转股时最新一轮融资投后估值。无市场化股权融资的，以第三方资产评估机构出具的公允价值作为投后估值。</w:t>
      </w:r>
      <w:r>
        <w:rPr>
          <w:rFonts w:hint="eastAsia" w:ascii="Nimbus Roman No9 L" w:hAnsi="Nimbus Roman No9 L" w:eastAsia="仿宋_GB2312" w:cs="仿宋_GB2312"/>
          <w:b w:val="0"/>
          <w:bCs w:val="0"/>
          <w:color w:val="auto"/>
          <w:kern w:val="0"/>
          <w:sz w:val="32"/>
          <w:szCs w:val="32"/>
          <w:highlight w:val="none"/>
          <w:u w:val="none"/>
          <w:lang w:val="en-US" w:eastAsia="zh-CN" w:bidi="ar"/>
        </w:rPr>
        <w:t>投资平台代为持有股权，不参与企业实际经营</w:t>
      </w:r>
      <w:r>
        <w:rPr>
          <w:rFonts w:hint="eastAsia" w:ascii="Nimbus Roman No9 L" w:hAnsi="Nimbus Roman No9 L" w:eastAsia="仿宋_GB2312" w:cs="仿宋_GB2312"/>
          <w:b w:val="0"/>
          <w:bCs w:val="0"/>
          <w:color w:val="auto"/>
          <w:kern w:val="0"/>
          <w:sz w:val="32"/>
          <w:szCs w:val="32"/>
          <w:u w:val="none"/>
          <w:lang w:val="en-US" w:eastAsia="zh-CN" w:bidi="ar"/>
        </w:rPr>
        <w:t>。以增资或股权转让方式行权的，投资平台不支付额外对价，相关工商变更、税费等由项目承担单位承担。企业及全体股东应当配合完成转股及股权代持登记手续。</w:t>
      </w:r>
    </w:p>
    <w:p w14:paraId="59232A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sz w:val="32"/>
          <w:szCs w:val="32"/>
          <w:u w:val="none"/>
        </w:rPr>
      </w:pPr>
      <w:r>
        <w:rPr>
          <w:rFonts w:hint="eastAsia" w:ascii="黑体" w:hAnsi="黑体" w:eastAsia="黑体" w:cs="黑体"/>
          <w:b w:val="0"/>
          <w:bCs w:val="0"/>
          <w:color w:val="auto"/>
          <w:kern w:val="0"/>
          <w:sz w:val="32"/>
          <w:szCs w:val="32"/>
          <w:u w:val="none"/>
          <w:lang w:val="en-US" w:eastAsia="zh-CN" w:bidi="ar"/>
        </w:rPr>
        <w:t>第二十五条</w:t>
      </w:r>
      <w:r>
        <w:rPr>
          <w:rFonts w:hint="eastAsia" w:ascii="Nimbus Roman No9 L" w:hAnsi="Nimbus Roman No9 L" w:eastAsia="仿宋_GB2312" w:cs="仿宋_GB2312"/>
          <w:b w:val="0"/>
          <w:bCs w:val="0"/>
          <w:color w:val="auto"/>
          <w:kern w:val="0"/>
          <w:sz w:val="32"/>
          <w:szCs w:val="32"/>
          <w:u w:val="none"/>
          <w:lang w:val="en-US" w:eastAsia="zh-CN" w:bidi="ar"/>
        </w:rPr>
        <w:t xml:space="preserve"> 转股条件达成后，项目承担单位在5年内享有优先回购权，价格标准为：自</w:t>
      </w:r>
      <w:r>
        <w:rPr>
          <w:rFonts w:hint="eastAsia" w:ascii="Nimbus Roman No9 L" w:hAnsi="Nimbus Roman No9 L" w:eastAsia="仿宋_GB2312" w:cs="仿宋_GB2312"/>
          <w:b w:val="0"/>
          <w:bCs w:val="0"/>
          <w:color w:val="auto"/>
          <w:kern w:val="0"/>
          <w:sz w:val="32"/>
          <w:szCs w:val="32"/>
          <w:highlight w:val="none"/>
          <w:u w:val="none"/>
          <w:lang w:val="en-US" w:eastAsia="zh-CN" w:bidi="ar"/>
        </w:rPr>
        <w:t>转股条件达成之日起，2</w:t>
      </w:r>
      <w:r>
        <w:rPr>
          <w:rFonts w:hint="eastAsia" w:ascii="Nimbus Roman No9 L" w:hAnsi="Nimbus Roman No9 L" w:eastAsia="仿宋_GB2312" w:cs="仿宋_GB2312"/>
          <w:b w:val="0"/>
          <w:bCs w:val="0"/>
          <w:color w:val="auto"/>
          <w:kern w:val="0"/>
          <w:sz w:val="32"/>
          <w:szCs w:val="32"/>
          <w:u w:val="none"/>
          <w:lang w:val="en-US" w:eastAsia="zh-CN" w:bidi="ar"/>
        </w:rPr>
        <w:t>年内（含），按照项目支持资金+管理成本回购；第3年（含），按照项目支持资金1.2倍+管理成本回购；第4年至第5年（含），按照项目支持资金1.4倍+管理成本回购。</w:t>
      </w:r>
    </w:p>
    <w:p w14:paraId="43F677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color w:val="auto"/>
          <w:u w:val="none"/>
        </w:rPr>
      </w:pPr>
      <w:r>
        <w:rPr>
          <w:rFonts w:hint="eastAsia" w:ascii="Nimbus Roman No9 L" w:hAnsi="Nimbus Roman No9 L" w:eastAsia="仿宋_GB2312" w:cs="仿宋_GB2312"/>
          <w:b w:val="0"/>
          <w:bCs w:val="0"/>
          <w:color w:val="auto"/>
          <w:kern w:val="0"/>
          <w:sz w:val="32"/>
          <w:szCs w:val="32"/>
          <w:u w:val="none"/>
          <w:lang w:val="en-US" w:eastAsia="zh-CN" w:bidi="ar"/>
        </w:rPr>
        <w:t>项目承担单位应当在提出回购申请后30个工作日内一次性支付全部对价，逾期未支付的，视为放弃优先购买权，投资平台可按照创新中心安排，依法依规市场化处置代持股权。</w:t>
      </w:r>
    </w:p>
    <w:p w14:paraId="5E938C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第二十六条</w:t>
      </w:r>
      <w:r>
        <w:rPr>
          <w:rFonts w:hint="eastAsia" w:ascii="Nimbus Roman No9 L" w:hAnsi="Nimbus Roman No9 L" w:eastAsia="仿宋_GB2312" w:cs="仿宋_GB2312"/>
          <w:b w:val="0"/>
          <w:bCs w:val="0"/>
          <w:color w:val="auto"/>
          <w:kern w:val="0"/>
          <w:sz w:val="32"/>
          <w:szCs w:val="32"/>
          <w:u w:val="none"/>
          <w:lang w:val="en-US" w:eastAsia="zh-CN" w:bidi="ar"/>
        </w:rPr>
        <w:t xml:space="preserve"> </w:t>
      </w:r>
      <w:r>
        <w:rPr>
          <w:rFonts w:hint="eastAsia" w:ascii="Nimbus Roman No9 L" w:hAnsi="Nimbus Roman No9 L" w:eastAsia="仿宋_GB2312" w:cs="仿宋_GB2312"/>
          <w:color w:val="auto"/>
          <w:kern w:val="0"/>
          <w:sz w:val="32"/>
          <w:szCs w:val="32"/>
          <w:u w:val="none"/>
          <w:lang w:val="en-US" w:eastAsia="zh-CN" w:bidi="ar"/>
        </w:rPr>
        <w:t>完成股权转化后，</w:t>
      </w:r>
      <w:r>
        <w:rPr>
          <w:rFonts w:hint="eastAsia" w:ascii="Nimbus Roman No9 L" w:hAnsi="Nimbus Roman No9 L" w:eastAsia="仿宋_GB2312" w:cs="仿宋_GB2312"/>
          <w:b w:val="0"/>
          <w:bCs w:val="0"/>
          <w:color w:val="auto"/>
          <w:kern w:val="0"/>
          <w:sz w:val="32"/>
          <w:szCs w:val="32"/>
          <w:u w:val="none"/>
          <w:lang w:val="en-US" w:eastAsia="zh-CN" w:bidi="ar"/>
        </w:rPr>
        <w:t>投资平台代为持有股权、行使股东权利，开展投后管理与风险防控。发现重大经营风险或严重违约行为的，及时向创新中心及市科技局报告。</w:t>
      </w:r>
    </w:p>
    <w:p w14:paraId="2AEADB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财政资金通过“先投后股”方式形成的股权，可通过以下市场化方式实施退出：</w:t>
      </w:r>
    </w:p>
    <w:p w14:paraId="3FCB7A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（一）</w:t>
      </w:r>
      <w:r>
        <w:rPr>
          <w:rFonts w:hint="eastAsia" w:ascii="Nimbus Roman No9 L" w:hAnsi="Nimbus Roman No9 L" w:eastAsia="仿宋_GB2312" w:cs="仿宋_GB2312"/>
          <w:b w:val="0"/>
          <w:bCs w:val="0"/>
          <w:color w:val="auto"/>
          <w:kern w:val="0"/>
          <w:sz w:val="32"/>
          <w:szCs w:val="32"/>
          <w:u w:val="none"/>
          <w:lang w:bidi="ar"/>
        </w:rPr>
        <w:t>项目承担</w:t>
      </w:r>
      <w:r>
        <w:rPr>
          <w:rFonts w:hint="eastAsia" w:ascii="Nimbus Roman No9 L" w:hAnsi="Nimbus Roman No9 L" w:eastAsia="仿宋_GB2312" w:cs="仿宋_GB2312"/>
          <w:b w:val="0"/>
          <w:bCs w:val="0"/>
          <w:color w:val="auto"/>
          <w:kern w:val="0"/>
          <w:sz w:val="32"/>
          <w:szCs w:val="32"/>
          <w:u w:val="none"/>
          <w:lang w:eastAsia="zh-CN" w:bidi="ar"/>
        </w:rPr>
        <w:t>单位</w:t>
      </w:r>
      <w:r>
        <w:rPr>
          <w:rFonts w:hint="eastAsia" w:ascii="Nimbus Roman No9 L" w:hAnsi="Nimbus Roman No9 L" w:eastAsia="仿宋_GB2312" w:cs="仿宋_GB2312"/>
          <w:b w:val="0"/>
          <w:bCs w:val="0"/>
          <w:color w:val="auto"/>
          <w:kern w:val="0"/>
          <w:sz w:val="32"/>
          <w:szCs w:val="32"/>
          <w:u w:val="none"/>
          <w:lang w:bidi="ar"/>
        </w:rPr>
        <w:t>回购</w:t>
      </w:r>
      <w:r>
        <w:rPr>
          <w:rFonts w:hint="eastAsia" w:ascii="Nimbus Roman No9 L" w:hAnsi="Nimbus Roman No9 L" w:eastAsia="仿宋_GB2312" w:cs="仿宋_GB2312"/>
          <w:b w:val="0"/>
          <w:bCs w:val="0"/>
          <w:color w:val="auto"/>
          <w:kern w:val="0"/>
          <w:sz w:val="32"/>
          <w:szCs w:val="32"/>
          <w:u w:val="none"/>
          <w:lang w:eastAsia="zh-CN" w:bidi="ar"/>
        </w:rPr>
        <w:t>，</w:t>
      </w:r>
      <w:r>
        <w:rPr>
          <w:rFonts w:hint="eastAsia" w:ascii="Nimbus Roman No9 L" w:hAnsi="Nimbus Roman No9 L" w:eastAsia="仿宋_GB2312" w:cs="仿宋_GB2312"/>
          <w:b w:val="0"/>
          <w:bCs w:val="0"/>
          <w:color w:val="auto"/>
          <w:kern w:val="0"/>
          <w:sz w:val="32"/>
          <w:szCs w:val="32"/>
          <w:u w:val="none"/>
          <w:lang w:bidi="ar"/>
        </w:rPr>
        <w:t>由项目承担</w:t>
      </w:r>
      <w:r>
        <w:rPr>
          <w:rFonts w:hint="eastAsia" w:ascii="Nimbus Roman No9 L" w:hAnsi="Nimbus Roman No9 L" w:eastAsia="仿宋_GB2312" w:cs="仿宋_GB2312"/>
          <w:b w:val="0"/>
          <w:bCs w:val="0"/>
          <w:color w:val="auto"/>
          <w:kern w:val="0"/>
          <w:sz w:val="32"/>
          <w:szCs w:val="32"/>
          <w:u w:val="none"/>
          <w:lang w:eastAsia="zh-CN" w:bidi="ar"/>
        </w:rPr>
        <w:t>单位</w:t>
      </w:r>
      <w:r>
        <w:rPr>
          <w:rFonts w:hint="eastAsia" w:ascii="Nimbus Roman No9 L" w:hAnsi="Nimbus Roman No9 L" w:eastAsia="仿宋_GB2312" w:cs="仿宋_GB2312"/>
          <w:b w:val="0"/>
          <w:bCs w:val="0"/>
          <w:color w:val="auto"/>
          <w:kern w:val="0"/>
          <w:sz w:val="32"/>
          <w:szCs w:val="32"/>
          <w:u w:val="none"/>
          <w:lang w:bidi="ar"/>
        </w:rPr>
        <w:t>或其股东按照</w:t>
      </w:r>
      <w:r>
        <w:rPr>
          <w:rFonts w:hint="eastAsia" w:ascii="Nimbus Roman No9 L" w:hAnsi="Nimbus Roman No9 L" w:eastAsia="仿宋_GB2312" w:cs="仿宋_GB2312"/>
          <w:b w:val="0"/>
          <w:bCs w:val="0"/>
          <w:color w:val="auto"/>
          <w:kern w:val="0"/>
          <w:sz w:val="32"/>
          <w:szCs w:val="32"/>
          <w:u w:val="none"/>
          <w:lang w:val="en-US" w:eastAsia="zh-CN" w:bidi="ar"/>
        </w:rPr>
        <w:t>投资协议</w:t>
      </w:r>
      <w:r>
        <w:rPr>
          <w:rFonts w:hint="eastAsia" w:ascii="Nimbus Roman No9 L" w:hAnsi="Nimbus Roman No9 L" w:eastAsia="仿宋_GB2312" w:cs="仿宋_GB2312"/>
          <w:b w:val="0"/>
          <w:bCs w:val="0"/>
          <w:color w:val="auto"/>
          <w:kern w:val="0"/>
          <w:sz w:val="32"/>
          <w:szCs w:val="32"/>
          <w:u w:val="none"/>
          <w:lang w:bidi="ar"/>
        </w:rPr>
        <w:t>约定价格回购财政股权，实现退出</w:t>
      </w:r>
      <w:r>
        <w:rPr>
          <w:rFonts w:hint="eastAsia" w:ascii="Nimbus Roman No9 L" w:hAnsi="Nimbus Roman No9 L" w:eastAsia="仿宋_GB2312" w:cs="仿宋_GB2312"/>
          <w:b w:val="0"/>
          <w:bCs w:val="0"/>
          <w:color w:val="auto"/>
          <w:kern w:val="0"/>
          <w:sz w:val="32"/>
          <w:szCs w:val="32"/>
          <w:u w:val="none"/>
          <w:lang w:eastAsia="zh-CN" w:bidi="ar"/>
        </w:rPr>
        <w:t>；</w:t>
      </w:r>
    </w:p>
    <w:p w14:paraId="0EB594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highlight w:val="none"/>
          <w:u w:val="none"/>
          <w:lang w:eastAsia="zh-CN" w:bidi="ar"/>
        </w:rPr>
      </w:pPr>
      <w:r>
        <w:rPr>
          <w:rFonts w:hint="eastAsia" w:ascii="Nimbus Roman No9 L" w:hAnsi="Nimbus Roman No9 L" w:eastAsia="仿宋_GB2312" w:cs="仿宋_GB2312"/>
          <w:b w:val="0"/>
          <w:bCs w:val="0"/>
          <w:color w:val="auto"/>
          <w:kern w:val="0"/>
          <w:sz w:val="32"/>
          <w:szCs w:val="32"/>
          <w:u w:val="none"/>
          <w:lang w:eastAsia="zh-CN" w:bidi="ar"/>
        </w:rPr>
        <w:t>（</w:t>
      </w:r>
      <w:r>
        <w:rPr>
          <w:rFonts w:hint="eastAsia" w:ascii="Nimbus Roman No9 L" w:hAnsi="Nimbus Roman No9 L" w:eastAsia="仿宋_GB2312" w:cs="仿宋_GB2312"/>
          <w:b w:val="0"/>
          <w:bCs w:val="0"/>
          <w:color w:val="auto"/>
          <w:kern w:val="0"/>
          <w:sz w:val="32"/>
          <w:szCs w:val="32"/>
          <w:u w:val="none"/>
          <w:lang w:val="en-US" w:eastAsia="zh-CN" w:bidi="ar"/>
        </w:rPr>
        <w:t>二</w:t>
      </w:r>
      <w:r>
        <w:rPr>
          <w:rFonts w:hint="eastAsia" w:ascii="Nimbus Roman No9 L" w:hAnsi="Nimbus Roman No9 L" w:eastAsia="仿宋_GB2312" w:cs="仿宋_GB2312"/>
          <w:b w:val="0"/>
          <w:bCs w:val="0"/>
          <w:color w:val="auto"/>
          <w:kern w:val="0"/>
          <w:sz w:val="32"/>
          <w:szCs w:val="32"/>
          <w:u w:val="none"/>
          <w:lang w:eastAsia="zh-CN" w:bidi="ar"/>
        </w:rPr>
        <w:t>）</w:t>
      </w:r>
      <w:r>
        <w:rPr>
          <w:rFonts w:hint="eastAsia" w:ascii="Nimbus Roman No9 L" w:hAnsi="Nimbus Roman No9 L" w:eastAsia="仿宋_GB2312" w:cs="仿宋_GB2312"/>
          <w:b w:val="0"/>
          <w:bCs w:val="0"/>
          <w:color w:val="auto"/>
          <w:kern w:val="0"/>
          <w:sz w:val="32"/>
          <w:szCs w:val="32"/>
          <w:highlight w:val="none"/>
          <w:u w:val="none"/>
          <w:lang w:bidi="ar"/>
        </w:rPr>
        <w:t>并购</w:t>
      </w:r>
      <w:r>
        <w:rPr>
          <w:rFonts w:hint="eastAsia" w:ascii="Nimbus Roman No9 L" w:hAnsi="Nimbus Roman No9 L" w:eastAsia="仿宋_GB2312" w:cs="仿宋_GB2312"/>
          <w:b w:val="0"/>
          <w:bCs w:val="0"/>
          <w:color w:val="auto"/>
          <w:kern w:val="0"/>
          <w:sz w:val="32"/>
          <w:szCs w:val="32"/>
          <w:u w:val="none"/>
          <w:shd w:val="clear" w:color="auto" w:fill="auto"/>
          <w:lang w:val="en-US" w:eastAsia="zh-CN" w:bidi="ar"/>
        </w:rPr>
        <w:t>或协议转让退出</w:t>
      </w:r>
      <w:r>
        <w:rPr>
          <w:rFonts w:hint="eastAsia" w:ascii="Nimbus Roman No9 L" w:hAnsi="Nimbus Roman No9 L" w:eastAsia="仿宋_GB2312" w:cs="仿宋_GB2312"/>
          <w:b w:val="0"/>
          <w:bCs w:val="0"/>
          <w:color w:val="auto"/>
          <w:kern w:val="0"/>
          <w:sz w:val="32"/>
          <w:szCs w:val="32"/>
          <w:u w:val="none"/>
          <w:lang w:eastAsia="zh-CN" w:bidi="ar"/>
        </w:rPr>
        <w:t>，</w:t>
      </w:r>
      <w:r>
        <w:rPr>
          <w:rFonts w:hint="eastAsia" w:ascii="Nimbus Roman No9 L" w:hAnsi="Nimbus Roman No9 L" w:eastAsia="仿宋_GB2312" w:cs="仿宋_GB2312"/>
          <w:b w:val="0"/>
          <w:bCs w:val="0"/>
          <w:color w:val="auto"/>
          <w:kern w:val="0"/>
          <w:sz w:val="32"/>
          <w:szCs w:val="32"/>
          <w:u w:val="none"/>
          <w:lang w:bidi="ar"/>
        </w:rPr>
        <w:t>企业被并购、重组</w:t>
      </w:r>
      <w:r>
        <w:rPr>
          <w:rFonts w:hint="eastAsia" w:ascii="Nimbus Roman No9 L" w:hAnsi="Nimbus Roman No9 L" w:eastAsia="仿宋_GB2312" w:cs="仿宋_GB2312"/>
          <w:b w:val="0"/>
          <w:bCs w:val="0"/>
          <w:color w:val="auto"/>
          <w:kern w:val="0"/>
          <w:sz w:val="32"/>
          <w:szCs w:val="32"/>
          <w:u w:val="none"/>
          <w:shd w:val="clear" w:color="auto" w:fill="auto"/>
          <w:lang w:val="en-US" w:eastAsia="zh-CN" w:bidi="ar"/>
        </w:rPr>
        <w:t>或通过协议转让</w:t>
      </w:r>
      <w:r>
        <w:rPr>
          <w:rFonts w:hint="eastAsia" w:ascii="Nimbus Roman No9 L" w:hAnsi="Nimbus Roman No9 L" w:eastAsia="仿宋_GB2312" w:cs="仿宋_GB2312"/>
          <w:b w:val="0"/>
          <w:bCs w:val="0"/>
          <w:color w:val="auto"/>
          <w:kern w:val="0"/>
          <w:sz w:val="32"/>
          <w:szCs w:val="32"/>
          <w:u w:val="none"/>
          <w:lang w:bidi="ar"/>
        </w:rPr>
        <w:t>等市场化交</w:t>
      </w:r>
      <w:r>
        <w:rPr>
          <w:rFonts w:hint="eastAsia" w:ascii="Nimbus Roman No9 L" w:hAnsi="Nimbus Roman No9 L" w:eastAsia="仿宋_GB2312" w:cs="仿宋_GB2312"/>
          <w:b w:val="0"/>
          <w:bCs w:val="0"/>
          <w:color w:val="auto"/>
          <w:kern w:val="0"/>
          <w:sz w:val="32"/>
          <w:szCs w:val="32"/>
          <w:highlight w:val="none"/>
          <w:u w:val="none"/>
          <w:lang w:bidi="ar"/>
        </w:rPr>
        <w:t>易</w:t>
      </w:r>
      <w:r>
        <w:rPr>
          <w:rFonts w:hint="eastAsia" w:ascii="Nimbus Roman No9 L" w:hAnsi="Nimbus Roman No9 L" w:eastAsia="仿宋_GB2312" w:cs="仿宋_GB2312"/>
          <w:b w:val="0"/>
          <w:bCs w:val="0"/>
          <w:color w:val="auto"/>
          <w:kern w:val="0"/>
          <w:sz w:val="32"/>
          <w:szCs w:val="32"/>
          <w:highlight w:val="none"/>
          <w:u w:val="none"/>
          <w:lang w:eastAsia="zh-CN" w:bidi="ar"/>
        </w:rPr>
        <w:t>，</w:t>
      </w:r>
      <w:r>
        <w:rPr>
          <w:rFonts w:hint="eastAsia" w:ascii="Nimbus Roman No9 L" w:hAnsi="Nimbus Roman No9 L" w:eastAsia="仿宋_GB2312" w:cs="仿宋_GB2312"/>
          <w:b w:val="0"/>
          <w:bCs w:val="0"/>
          <w:color w:val="auto"/>
          <w:kern w:val="0"/>
          <w:sz w:val="32"/>
          <w:szCs w:val="32"/>
          <w:highlight w:val="none"/>
          <w:u w:val="none"/>
          <w:lang w:bidi="ar"/>
        </w:rPr>
        <w:t>实现退出</w:t>
      </w:r>
      <w:r>
        <w:rPr>
          <w:rFonts w:hint="eastAsia" w:ascii="Nimbus Roman No9 L" w:hAnsi="Nimbus Roman No9 L" w:eastAsia="仿宋_GB2312" w:cs="仿宋_GB2312"/>
          <w:b w:val="0"/>
          <w:bCs w:val="0"/>
          <w:color w:val="auto"/>
          <w:kern w:val="0"/>
          <w:sz w:val="32"/>
          <w:szCs w:val="32"/>
          <w:highlight w:val="none"/>
          <w:u w:val="none"/>
          <w:lang w:eastAsia="zh-CN" w:bidi="ar"/>
        </w:rPr>
        <w:t>；</w:t>
      </w:r>
    </w:p>
    <w:p w14:paraId="34B8C3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eastAsia="zh-CN" w:bidi="ar"/>
        </w:rPr>
      </w:pPr>
      <w:r>
        <w:rPr>
          <w:rFonts w:hint="eastAsia" w:ascii="Nimbus Roman No9 L" w:hAnsi="Nimbus Roman No9 L" w:eastAsia="仿宋_GB2312" w:cs="仿宋_GB2312"/>
          <w:b w:val="0"/>
          <w:bCs w:val="0"/>
          <w:color w:val="auto"/>
          <w:kern w:val="0"/>
          <w:sz w:val="32"/>
          <w:szCs w:val="32"/>
          <w:highlight w:val="none"/>
          <w:u w:val="none"/>
          <w:lang w:eastAsia="zh-CN" w:bidi="ar"/>
        </w:rPr>
        <w:t>（</w:t>
      </w:r>
      <w:r>
        <w:rPr>
          <w:rFonts w:hint="eastAsia" w:ascii="Nimbus Roman No9 L" w:hAnsi="Nimbus Roman No9 L" w:eastAsia="仿宋_GB2312" w:cs="仿宋_GB2312"/>
          <w:b w:val="0"/>
          <w:bCs w:val="0"/>
          <w:color w:val="auto"/>
          <w:kern w:val="0"/>
          <w:sz w:val="32"/>
          <w:szCs w:val="32"/>
          <w:highlight w:val="none"/>
          <w:u w:val="none"/>
          <w:lang w:val="en-US" w:eastAsia="zh-CN" w:bidi="ar"/>
        </w:rPr>
        <w:t>三</w:t>
      </w:r>
      <w:r>
        <w:rPr>
          <w:rFonts w:hint="eastAsia" w:ascii="Nimbus Roman No9 L" w:hAnsi="Nimbus Roman No9 L" w:eastAsia="仿宋_GB2312" w:cs="仿宋_GB2312"/>
          <w:b w:val="0"/>
          <w:bCs w:val="0"/>
          <w:color w:val="auto"/>
          <w:kern w:val="0"/>
          <w:sz w:val="32"/>
          <w:szCs w:val="32"/>
          <w:highlight w:val="none"/>
          <w:u w:val="none"/>
          <w:lang w:eastAsia="zh-CN" w:bidi="ar"/>
        </w:rPr>
        <w:t>）</w:t>
      </w:r>
      <w:r>
        <w:rPr>
          <w:rFonts w:hint="eastAsia" w:ascii="Nimbus Roman No9 L" w:hAnsi="Nimbus Roman No9 L" w:eastAsia="仿宋_GB2312" w:cs="仿宋_GB2312"/>
          <w:b w:val="0"/>
          <w:bCs w:val="0"/>
          <w:color w:val="auto"/>
          <w:kern w:val="0"/>
          <w:sz w:val="32"/>
          <w:szCs w:val="32"/>
          <w:highlight w:val="none"/>
          <w:u w:val="none"/>
          <w:lang w:bidi="ar"/>
        </w:rPr>
        <w:t>上市退出</w:t>
      </w:r>
      <w:r>
        <w:rPr>
          <w:rFonts w:hint="eastAsia" w:ascii="Nimbus Roman No9 L" w:hAnsi="Nimbus Roman No9 L" w:eastAsia="仿宋_GB2312" w:cs="仿宋_GB2312"/>
          <w:b w:val="0"/>
          <w:bCs w:val="0"/>
          <w:color w:val="auto"/>
          <w:kern w:val="0"/>
          <w:sz w:val="32"/>
          <w:szCs w:val="32"/>
          <w:highlight w:val="none"/>
          <w:u w:val="none"/>
          <w:lang w:eastAsia="zh-CN" w:bidi="ar"/>
        </w:rPr>
        <w:t>，</w:t>
      </w:r>
      <w:r>
        <w:rPr>
          <w:rFonts w:hint="eastAsia" w:ascii="Nimbus Roman No9 L" w:hAnsi="Nimbus Roman No9 L" w:eastAsia="仿宋_GB2312" w:cs="仿宋_GB2312"/>
          <w:b w:val="0"/>
          <w:bCs w:val="0"/>
          <w:color w:val="auto"/>
          <w:kern w:val="0"/>
          <w:sz w:val="32"/>
          <w:szCs w:val="32"/>
          <w:highlight w:val="none"/>
          <w:u w:val="none"/>
          <w:lang w:bidi="ar"/>
        </w:rPr>
        <w:t>企业实现境内外上市后，通过二级</w:t>
      </w:r>
      <w:r>
        <w:rPr>
          <w:rFonts w:hint="eastAsia" w:ascii="Nimbus Roman No9 L" w:hAnsi="Nimbus Roman No9 L" w:eastAsia="仿宋_GB2312" w:cs="仿宋_GB2312"/>
          <w:b w:val="0"/>
          <w:bCs w:val="0"/>
          <w:color w:val="auto"/>
          <w:kern w:val="0"/>
          <w:sz w:val="32"/>
          <w:szCs w:val="32"/>
          <w:u w:val="none"/>
          <w:lang w:bidi="ar"/>
        </w:rPr>
        <w:t>市场减持、协议转让等方式</w:t>
      </w:r>
      <w:r>
        <w:rPr>
          <w:rFonts w:hint="eastAsia" w:ascii="Nimbus Roman No9 L" w:hAnsi="Nimbus Roman No9 L" w:eastAsia="仿宋_GB2312" w:cs="仿宋_GB2312"/>
          <w:b w:val="0"/>
          <w:bCs w:val="0"/>
          <w:color w:val="auto"/>
          <w:kern w:val="0"/>
          <w:sz w:val="32"/>
          <w:szCs w:val="32"/>
          <w:u w:val="none"/>
          <w:lang w:eastAsia="zh-CN" w:bidi="ar"/>
        </w:rPr>
        <w:t>，</w:t>
      </w:r>
      <w:r>
        <w:rPr>
          <w:rFonts w:hint="eastAsia" w:ascii="Nimbus Roman No9 L" w:hAnsi="Nimbus Roman No9 L" w:eastAsia="仿宋_GB2312" w:cs="仿宋_GB2312"/>
          <w:b w:val="0"/>
          <w:bCs w:val="0"/>
          <w:color w:val="auto"/>
          <w:kern w:val="0"/>
          <w:sz w:val="32"/>
          <w:szCs w:val="32"/>
          <w:u w:val="none"/>
          <w:lang w:val="en-US" w:eastAsia="zh-CN" w:bidi="ar"/>
        </w:rPr>
        <w:t>实现</w:t>
      </w:r>
      <w:r>
        <w:rPr>
          <w:rFonts w:hint="eastAsia" w:ascii="Nimbus Roman No9 L" w:hAnsi="Nimbus Roman No9 L" w:eastAsia="仿宋_GB2312" w:cs="仿宋_GB2312"/>
          <w:b w:val="0"/>
          <w:bCs w:val="0"/>
          <w:color w:val="auto"/>
          <w:kern w:val="0"/>
          <w:sz w:val="32"/>
          <w:szCs w:val="32"/>
          <w:u w:val="none"/>
          <w:lang w:bidi="ar"/>
        </w:rPr>
        <w:t>退出</w:t>
      </w:r>
      <w:r>
        <w:rPr>
          <w:rFonts w:hint="eastAsia" w:ascii="Nimbus Roman No9 L" w:hAnsi="Nimbus Roman No9 L" w:eastAsia="仿宋_GB2312" w:cs="仿宋_GB2312"/>
          <w:b w:val="0"/>
          <w:bCs w:val="0"/>
          <w:color w:val="auto"/>
          <w:kern w:val="0"/>
          <w:sz w:val="32"/>
          <w:szCs w:val="32"/>
          <w:u w:val="none"/>
          <w:lang w:eastAsia="zh-CN" w:bidi="ar"/>
        </w:rPr>
        <w:t>；</w:t>
      </w:r>
    </w:p>
    <w:p w14:paraId="18733B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eastAsia="zh-CN" w:bidi="ar"/>
        </w:rPr>
        <w:t>（</w:t>
      </w:r>
      <w:r>
        <w:rPr>
          <w:rFonts w:hint="eastAsia" w:ascii="Nimbus Roman No9 L" w:hAnsi="Nimbus Roman No9 L" w:eastAsia="仿宋_GB2312" w:cs="仿宋_GB2312"/>
          <w:b w:val="0"/>
          <w:bCs w:val="0"/>
          <w:color w:val="auto"/>
          <w:kern w:val="0"/>
          <w:sz w:val="32"/>
          <w:szCs w:val="32"/>
          <w:u w:val="none"/>
          <w:lang w:val="en-US" w:eastAsia="zh-CN" w:bidi="ar"/>
        </w:rPr>
        <w:t>四</w:t>
      </w:r>
      <w:r>
        <w:rPr>
          <w:rFonts w:hint="eastAsia" w:ascii="Nimbus Roman No9 L" w:hAnsi="Nimbus Roman No9 L" w:eastAsia="仿宋_GB2312" w:cs="仿宋_GB2312"/>
          <w:b w:val="0"/>
          <w:bCs w:val="0"/>
          <w:color w:val="auto"/>
          <w:kern w:val="0"/>
          <w:sz w:val="32"/>
          <w:szCs w:val="32"/>
          <w:u w:val="none"/>
          <w:lang w:eastAsia="zh-CN" w:bidi="ar"/>
        </w:rPr>
        <w:t>）</w:t>
      </w:r>
      <w:r>
        <w:rPr>
          <w:rFonts w:hint="eastAsia" w:ascii="Nimbus Roman No9 L" w:hAnsi="Nimbus Roman No9 L" w:eastAsia="仿宋_GB2312" w:cs="仿宋_GB2312"/>
          <w:b w:val="0"/>
          <w:bCs w:val="0"/>
          <w:color w:val="auto"/>
          <w:kern w:val="0"/>
          <w:sz w:val="32"/>
          <w:szCs w:val="32"/>
          <w:u w:val="none"/>
          <w:lang w:bidi="ar"/>
        </w:rPr>
        <w:t>公司清算</w:t>
      </w:r>
      <w:r>
        <w:rPr>
          <w:rFonts w:hint="eastAsia" w:ascii="Nimbus Roman No9 L" w:hAnsi="Nimbus Roman No9 L" w:eastAsia="仿宋_GB2312" w:cs="仿宋_GB2312"/>
          <w:b w:val="0"/>
          <w:bCs w:val="0"/>
          <w:color w:val="auto"/>
          <w:kern w:val="0"/>
          <w:sz w:val="32"/>
          <w:szCs w:val="32"/>
          <w:u w:val="none"/>
          <w:lang w:val="en-US" w:eastAsia="zh-CN" w:bidi="ar"/>
        </w:rPr>
        <w:t>或破产</w:t>
      </w:r>
      <w:r>
        <w:rPr>
          <w:rFonts w:hint="eastAsia" w:ascii="Nimbus Roman No9 L" w:hAnsi="Nimbus Roman No9 L" w:eastAsia="仿宋_GB2312" w:cs="仿宋_GB2312"/>
          <w:b w:val="0"/>
          <w:bCs w:val="0"/>
          <w:color w:val="auto"/>
          <w:kern w:val="0"/>
          <w:sz w:val="32"/>
          <w:szCs w:val="32"/>
          <w:u w:val="none"/>
          <w:lang w:bidi="ar"/>
        </w:rPr>
        <w:t>退出</w:t>
      </w:r>
      <w:r>
        <w:rPr>
          <w:rFonts w:hint="eastAsia" w:ascii="Nimbus Roman No9 L" w:hAnsi="Nimbus Roman No9 L" w:eastAsia="仿宋_GB2312" w:cs="仿宋_GB2312"/>
          <w:b w:val="0"/>
          <w:bCs w:val="0"/>
          <w:color w:val="auto"/>
          <w:kern w:val="0"/>
          <w:sz w:val="32"/>
          <w:szCs w:val="32"/>
          <w:u w:val="none"/>
          <w:lang w:eastAsia="zh-CN" w:bidi="ar"/>
        </w:rPr>
        <w:t>，</w:t>
      </w:r>
      <w:r>
        <w:rPr>
          <w:rFonts w:hint="eastAsia" w:ascii="Nimbus Roman No9 L" w:hAnsi="Nimbus Roman No9 L" w:eastAsia="仿宋_GB2312" w:cs="仿宋_GB2312"/>
          <w:b w:val="0"/>
          <w:bCs w:val="0"/>
          <w:color w:val="auto"/>
          <w:kern w:val="0"/>
          <w:sz w:val="32"/>
          <w:szCs w:val="32"/>
          <w:u w:val="none"/>
          <w:lang w:bidi="ar"/>
        </w:rPr>
        <w:t>企业解散、清算或</w:t>
      </w:r>
      <w:r>
        <w:rPr>
          <w:rFonts w:hint="eastAsia" w:ascii="Nimbus Roman No9 L" w:hAnsi="Nimbus Roman No9 L" w:eastAsia="仿宋_GB2312" w:cs="仿宋_GB2312"/>
          <w:b w:val="0"/>
          <w:bCs w:val="0"/>
          <w:color w:val="auto"/>
          <w:kern w:val="0"/>
          <w:sz w:val="32"/>
          <w:szCs w:val="32"/>
          <w:u w:val="none"/>
          <w:lang w:val="en-US" w:eastAsia="zh-CN" w:bidi="ar"/>
        </w:rPr>
        <w:t>破产</w:t>
      </w:r>
      <w:r>
        <w:rPr>
          <w:rFonts w:hint="eastAsia" w:ascii="Nimbus Roman No9 L" w:hAnsi="Nimbus Roman No9 L" w:eastAsia="仿宋_GB2312" w:cs="仿宋_GB2312"/>
          <w:b w:val="0"/>
          <w:bCs w:val="0"/>
          <w:color w:val="auto"/>
          <w:kern w:val="0"/>
          <w:sz w:val="32"/>
          <w:szCs w:val="32"/>
          <w:u w:val="none"/>
          <w:lang w:bidi="ar"/>
        </w:rPr>
        <w:t>时，按股权比例分配剩余财产</w:t>
      </w:r>
      <w:r>
        <w:rPr>
          <w:rFonts w:hint="eastAsia" w:ascii="Nimbus Roman No9 L" w:hAnsi="Nimbus Roman No9 L" w:eastAsia="仿宋_GB2312" w:cs="仿宋_GB2312"/>
          <w:b w:val="0"/>
          <w:bCs w:val="0"/>
          <w:color w:val="auto"/>
          <w:kern w:val="0"/>
          <w:sz w:val="32"/>
          <w:szCs w:val="32"/>
          <w:u w:val="none"/>
          <w:lang w:eastAsia="zh-CN" w:bidi="ar"/>
        </w:rPr>
        <w:t>，</w:t>
      </w:r>
      <w:r>
        <w:rPr>
          <w:rFonts w:hint="eastAsia" w:ascii="Nimbus Roman No9 L" w:hAnsi="Nimbus Roman No9 L" w:eastAsia="仿宋_GB2312" w:cs="仿宋_GB2312"/>
          <w:b w:val="0"/>
          <w:bCs w:val="0"/>
          <w:color w:val="auto"/>
          <w:kern w:val="0"/>
          <w:sz w:val="32"/>
          <w:szCs w:val="32"/>
          <w:u w:val="none"/>
          <w:lang w:bidi="ar"/>
        </w:rPr>
        <w:t>实现退出</w:t>
      </w:r>
      <w:r>
        <w:rPr>
          <w:rFonts w:hint="eastAsia" w:ascii="Nimbus Roman No9 L" w:hAnsi="Nimbus Roman No9 L" w:eastAsia="仿宋_GB2312" w:cs="仿宋_GB2312"/>
          <w:b w:val="0"/>
          <w:bCs w:val="0"/>
          <w:color w:val="auto"/>
          <w:kern w:val="0"/>
          <w:sz w:val="32"/>
          <w:szCs w:val="32"/>
          <w:u w:val="none"/>
          <w:lang w:eastAsia="zh-CN" w:bidi="ar"/>
        </w:rPr>
        <w:t>，投资平台以财政出资额为限承担责任</w:t>
      </w:r>
      <w:r>
        <w:rPr>
          <w:rFonts w:hint="eastAsia" w:ascii="Nimbus Roman No9 L" w:hAnsi="Nimbus Roman No9 L" w:eastAsia="仿宋_GB2312" w:cs="仿宋_GB2312"/>
          <w:b w:val="0"/>
          <w:bCs w:val="0"/>
          <w:color w:val="auto"/>
          <w:kern w:val="0"/>
          <w:sz w:val="32"/>
          <w:szCs w:val="32"/>
          <w:u w:val="none"/>
          <w:lang w:bidi="ar"/>
        </w:rPr>
        <w:t>。</w:t>
      </w:r>
    </w:p>
    <w:p w14:paraId="183C4A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highlight w:val="yellow"/>
          <w:u w:val="none"/>
          <w:lang w:val="en-US" w:eastAsia="zh-CN" w:bidi="ar"/>
        </w:rPr>
      </w:pPr>
      <w:r>
        <w:rPr>
          <w:rFonts w:hint="eastAsia" w:ascii="Nimbus Roman No9 L" w:hAnsi="Nimbus Roman No9 L" w:eastAsia="仿宋_GB2312" w:cs="仿宋_GB2312"/>
          <w:b w:val="0"/>
          <w:bCs w:val="0"/>
          <w:color w:val="auto"/>
          <w:kern w:val="0"/>
          <w:sz w:val="32"/>
          <w:szCs w:val="32"/>
          <w:highlight w:val="none"/>
          <w:u w:val="none"/>
          <w:lang w:val="en-US" w:eastAsia="zh-CN" w:bidi="ar"/>
        </w:rPr>
        <w:t>在股权退出、分红等收益扣除相关税费后，财政支持资金本金及增值收益按照原渠道上缴至市级国库。市财政局统筹安排，将其纳入市科技局下一年度预算，滚动支持“先投后股”项目，实现财政资金良性循环。</w:t>
      </w:r>
    </w:p>
    <w:p w14:paraId="5272F3C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Nimbus Roman No9 L" w:hAnsi="Nimbus Roman No9 L" w:eastAsia="仿宋_GB2312" w:cs="仿宋_GB2312"/>
          <w:b w:val="0"/>
          <w:bCs w:val="0"/>
          <w:color w:val="auto"/>
          <w:sz w:val="32"/>
          <w:szCs w:val="32"/>
          <w:u w:val="none"/>
        </w:rPr>
      </w:pPr>
    </w:p>
    <w:p w14:paraId="6D0DAD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0" w:firstLineChars="0"/>
        <w:jc w:val="center"/>
        <w:textAlignment w:val="auto"/>
        <w:rPr>
          <w:rFonts w:hint="eastAsia" w:ascii="黑体" w:hAnsi="黑体" w:eastAsia="黑体" w:cs="黑体"/>
          <w:b w:val="0"/>
          <w:bCs w:val="0"/>
          <w:color w:val="auto"/>
          <w:sz w:val="32"/>
          <w:szCs w:val="32"/>
          <w:u w:val="none"/>
        </w:rPr>
      </w:pPr>
      <w:r>
        <w:rPr>
          <w:rFonts w:hint="eastAsia" w:ascii="黑体" w:hAnsi="黑体" w:eastAsia="黑体" w:cs="黑体"/>
          <w:b w:val="0"/>
          <w:bCs w:val="0"/>
          <w:color w:val="auto"/>
          <w:sz w:val="32"/>
          <w:szCs w:val="32"/>
          <w:u w:val="none"/>
        </w:rPr>
        <w:t>第六章</w:t>
      </w:r>
      <w:r>
        <w:rPr>
          <w:rFonts w:hint="eastAsia" w:ascii="黑体" w:hAnsi="黑体" w:eastAsia="黑体" w:cs="黑体"/>
          <w:b w:val="0"/>
          <w:bCs w:val="0"/>
          <w:color w:val="auto"/>
          <w:sz w:val="32"/>
          <w:szCs w:val="32"/>
          <w:u w:val="none"/>
          <w:lang w:val="en-US" w:eastAsia="zh-CN"/>
        </w:rPr>
        <w:t xml:space="preserve"> </w:t>
      </w:r>
      <w:r>
        <w:rPr>
          <w:rFonts w:hint="eastAsia" w:ascii="黑体" w:hAnsi="黑体" w:eastAsia="黑体" w:cs="黑体"/>
          <w:b w:val="0"/>
          <w:bCs w:val="0"/>
          <w:color w:val="auto"/>
          <w:sz w:val="32"/>
          <w:szCs w:val="32"/>
          <w:u w:val="none"/>
        </w:rPr>
        <w:t>风险管理与评价机制</w:t>
      </w:r>
    </w:p>
    <w:p w14:paraId="72D47B8F">
      <w:pPr>
        <w:rPr>
          <w:rFonts w:hint="eastAsia"/>
          <w:color w:val="auto"/>
          <w:u w:val="none"/>
        </w:rPr>
      </w:pPr>
    </w:p>
    <w:p w14:paraId="01E0C8A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黑体" w:hAnsi="黑体" w:eastAsia="黑体" w:cs="黑体"/>
          <w:b w:val="0"/>
          <w:bCs w:val="0"/>
          <w:color w:val="auto"/>
          <w:kern w:val="0"/>
          <w:sz w:val="32"/>
          <w:szCs w:val="32"/>
          <w:u w:val="none"/>
          <w:lang w:val="en-US" w:eastAsia="zh-CN" w:bidi="ar"/>
        </w:rPr>
        <w:t>第二十七条</w:t>
      </w:r>
      <w:r>
        <w:rPr>
          <w:rFonts w:hint="eastAsia" w:ascii="Nimbus Roman No9 L" w:hAnsi="Nimbus Roman No9 L" w:eastAsia="仿宋_GB2312" w:cs="仿宋_GB2312"/>
          <w:b w:val="0"/>
          <w:bCs w:val="0"/>
          <w:color w:val="auto"/>
          <w:kern w:val="0"/>
          <w:sz w:val="32"/>
          <w:szCs w:val="32"/>
          <w:u w:val="none"/>
          <w:lang w:val="en-US" w:eastAsia="zh-CN" w:bidi="ar"/>
        </w:rPr>
        <w:t xml:space="preserve"> 建立尽职免责机制，坚持崇尚创新、宽容失败。符合以下条件的，予以免责，相关考核不作负面评价：</w:t>
      </w:r>
    </w:p>
    <w:p w14:paraId="4EF7C4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（一）未违反法律法规、党纪党规、国有资产管理及项目管理禁止性规定；</w:t>
      </w:r>
    </w:p>
    <w:p w14:paraId="271C85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（二）符合国家及本市产业政策与发展规划；</w:t>
      </w:r>
    </w:p>
    <w:p w14:paraId="0B7DA5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（三）符合“先投后股”项目支持方向与要求；</w:t>
      </w:r>
    </w:p>
    <w:p w14:paraId="2B3501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（四）项目实施程序合规、手续完备；</w:t>
      </w:r>
    </w:p>
    <w:p w14:paraId="48C866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（五）未谋取不正当利益，未与他人恶意串通损害国家利益、公共利益；</w:t>
      </w:r>
    </w:p>
    <w:p w14:paraId="0E227D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sz w:val="32"/>
          <w:szCs w:val="32"/>
          <w:u w:val="none"/>
        </w:rPr>
      </w:pPr>
      <w:r>
        <w:rPr>
          <w:rFonts w:hint="eastAsia" w:ascii="Nimbus Roman No9 L" w:hAnsi="Nimbus Roman No9 L" w:eastAsia="仿宋_GB2312" w:cs="仿宋_GB2312"/>
          <w:b w:val="0"/>
          <w:bCs w:val="0"/>
          <w:color w:val="auto"/>
          <w:kern w:val="0"/>
          <w:sz w:val="32"/>
          <w:szCs w:val="32"/>
          <w:u w:val="none"/>
          <w:lang w:val="en-US" w:eastAsia="zh-CN" w:bidi="ar"/>
        </w:rPr>
        <w:t>（六）其他符合尽职免责的情形。</w:t>
      </w:r>
    </w:p>
    <w:p w14:paraId="029538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kern w:val="0"/>
          <w:sz w:val="32"/>
          <w:szCs w:val="32"/>
          <w:u w:val="none"/>
          <w:lang w:val="en-US" w:eastAsia="zh-CN" w:bidi="ar"/>
        </w:rPr>
      </w:pPr>
      <w:r>
        <w:rPr>
          <w:rFonts w:hint="eastAsia" w:ascii="Nimbus Roman No9 L" w:hAnsi="Nimbus Roman No9 L" w:eastAsia="仿宋_GB2312" w:cs="仿宋_GB2312"/>
          <w:b w:val="0"/>
          <w:bCs w:val="0"/>
          <w:color w:val="auto"/>
          <w:kern w:val="0"/>
          <w:sz w:val="32"/>
          <w:szCs w:val="32"/>
          <w:u w:val="none"/>
          <w:lang w:val="en-US" w:eastAsia="zh-CN" w:bidi="ar"/>
        </w:rPr>
        <w:t>符合上述情形的，</w:t>
      </w:r>
      <w:r>
        <w:rPr>
          <w:rStyle w:val="12"/>
          <w:rFonts w:hint="eastAsia" w:ascii="Nimbus Roman No9 L" w:hAnsi="Nimbus Roman No9 L" w:eastAsia="仿宋_GB2312" w:cs="仿宋_GB2312"/>
          <w:b w:val="0"/>
          <w:bCs w:val="0"/>
          <w:color w:val="auto"/>
          <w:kern w:val="0"/>
          <w:sz w:val="32"/>
          <w:szCs w:val="32"/>
          <w:u w:val="none"/>
          <w:lang w:val="en-US" w:eastAsia="zh-CN" w:bidi="ar"/>
        </w:rPr>
        <w:t>不以项目盈亏、代持股权损益</w:t>
      </w:r>
      <w:r>
        <w:rPr>
          <w:rFonts w:hint="eastAsia" w:ascii="Nimbus Roman No9 L" w:hAnsi="Nimbus Roman No9 L" w:eastAsia="仿宋_GB2312" w:cs="仿宋_GB2312"/>
          <w:b w:val="0"/>
          <w:bCs w:val="0"/>
          <w:color w:val="auto"/>
          <w:kern w:val="0"/>
          <w:sz w:val="32"/>
          <w:szCs w:val="32"/>
          <w:u w:val="none"/>
          <w:lang w:val="en-US" w:eastAsia="zh-CN" w:bidi="ar"/>
        </w:rPr>
        <w:t>作为主管部门、受托管理机构、权益代持机构及相关工作人员的责任认定依据。</w:t>
      </w:r>
    </w:p>
    <w:p w14:paraId="767B611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sz w:val="32"/>
          <w:szCs w:val="32"/>
          <w:highlight w:val="none"/>
          <w:u w:val="none"/>
        </w:rPr>
      </w:pPr>
      <w:r>
        <w:rPr>
          <w:rFonts w:hint="eastAsia" w:ascii="黑体" w:hAnsi="黑体" w:eastAsia="黑体" w:cs="黑体"/>
          <w:b w:val="0"/>
          <w:bCs w:val="0"/>
          <w:color w:val="auto"/>
          <w:kern w:val="0"/>
          <w:sz w:val="32"/>
          <w:szCs w:val="32"/>
          <w:u w:val="none"/>
          <w:lang w:val="en-US" w:eastAsia="zh-CN" w:bidi="ar"/>
        </w:rPr>
        <w:t>第二十八条</w:t>
      </w:r>
      <w:r>
        <w:rPr>
          <w:rFonts w:hint="eastAsia" w:ascii="Nimbus Roman No9 L" w:hAnsi="Nimbus Roman No9 L" w:eastAsia="仿宋_GB2312" w:cs="仿宋_GB2312"/>
          <w:b w:val="0"/>
          <w:bCs w:val="0"/>
          <w:color w:val="auto"/>
          <w:kern w:val="0"/>
          <w:sz w:val="32"/>
          <w:szCs w:val="32"/>
          <w:u w:val="none"/>
          <w:lang w:val="en-US" w:eastAsia="zh-CN" w:bidi="ar"/>
        </w:rPr>
        <w:t xml:space="preserve"> 市科技局会同市财政局按年度对</w:t>
      </w:r>
      <w:r>
        <w:rPr>
          <w:rStyle w:val="12"/>
          <w:rFonts w:hint="eastAsia" w:ascii="Nimbus Roman No9 L" w:hAnsi="Nimbus Roman No9 L" w:eastAsia="仿宋_GB2312" w:cs="仿宋_GB2312"/>
          <w:b w:val="0"/>
          <w:bCs w:val="0"/>
          <w:color w:val="auto"/>
          <w:kern w:val="0"/>
          <w:sz w:val="32"/>
          <w:szCs w:val="32"/>
          <w:u w:val="none"/>
          <w:lang w:val="en-US" w:eastAsia="zh-CN" w:bidi="ar"/>
        </w:rPr>
        <w:t>投资平台</w:t>
      </w:r>
      <w:r>
        <w:rPr>
          <w:rFonts w:hint="eastAsia" w:ascii="Nimbus Roman No9 L" w:hAnsi="Nimbus Roman No9 L" w:eastAsia="仿宋_GB2312" w:cs="仿宋_GB2312"/>
          <w:b w:val="0"/>
          <w:bCs w:val="0"/>
          <w:color w:val="auto"/>
          <w:kern w:val="0"/>
          <w:sz w:val="32"/>
          <w:szCs w:val="32"/>
          <w:u w:val="none"/>
          <w:lang w:val="en-US" w:eastAsia="zh-CN" w:bidi="ar"/>
        </w:rPr>
        <w:t>进行绩效考核，</w:t>
      </w:r>
      <w:r>
        <w:rPr>
          <w:rFonts w:hint="eastAsia" w:ascii="Nimbus Roman No9 L" w:hAnsi="Nimbus Roman No9 L" w:eastAsia="仿宋_GB2312" w:cs="仿宋_GB2312"/>
          <w:color w:val="auto"/>
          <w:kern w:val="0"/>
          <w:sz w:val="32"/>
          <w:szCs w:val="32"/>
          <w:highlight w:val="none"/>
          <w:u w:val="none"/>
          <w:lang w:bidi="ar"/>
        </w:rPr>
        <w:t>考核结果作为预算安排、政策完善及管理费核定的重要依据。管理费按照上年度财政原始出资金额净值的1%计提；年度绩效考核得分在80分（含）以上的，全额计提管理费；得分在80分至60分（含）的，按50%计提管理费；得分在60分以下的，不计提管理费。尽职调查、资产评估、投资退出等相关管理成本据实列支</w:t>
      </w:r>
      <w:r>
        <w:rPr>
          <w:rFonts w:hint="eastAsia" w:ascii="Nimbus Roman No9 L" w:hAnsi="Nimbus Roman No9 L" w:eastAsia="仿宋_GB2312" w:cs="仿宋_GB2312"/>
          <w:b w:val="0"/>
          <w:bCs w:val="0"/>
          <w:color w:val="auto"/>
          <w:kern w:val="0"/>
          <w:sz w:val="32"/>
          <w:szCs w:val="32"/>
          <w:highlight w:val="none"/>
          <w:u w:val="none"/>
          <w:lang w:val="en-US" w:eastAsia="zh-CN" w:bidi="ar"/>
        </w:rPr>
        <w:t>。</w:t>
      </w:r>
    </w:p>
    <w:p w14:paraId="0FD389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sz w:val="32"/>
          <w:szCs w:val="32"/>
          <w:highlight w:val="none"/>
          <w:u w:val="none"/>
        </w:rPr>
      </w:pPr>
      <w:r>
        <w:rPr>
          <w:rFonts w:hint="eastAsia" w:ascii="Nimbus Roman No9 L" w:hAnsi="Nimbus Roman No9 L" w:eastAsia="仿宋_GB2312" w:cs="仿宋_GB2312"/>
          <w:b w:val="0"/>
          <w:bCs w:val="0"/>
          <w:color w:val="auto"/>
          <w:kern w:val="0"/>
          <w:sz w:val="32"/>
          <w:szCs w:val="32"/>
          <w:highlight w:val="none"/>
          <w:u w:val="none"/>
          <w:lang w:val="en-US" w:eastAsia="zh-CN" w:bidi="ar"/>
        </w:rPr>
        <w:t>投资平台应当于每年6月底前形成管理费计提申请及核算材料，经创新中心审核后，提交至市科技局、市财政局。“先投后股”项目实施初期，投资平台管理费列入市科技局当年度预算安排；待项目实现收益当年，管理费从应上缴收益中扣除。</w:t>
      </w:r>
    </w:p>
    <w:p w14:paraId="265607A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Nimbus Roman No9 L" w:hAnsi="Nimbus Roman No9 L" w:eastAsia="仿宋_GB2312" w:cs="仿宋_GB2312"/>
          <w:b w:val="0"/>
          <w:bCs w:val="0"/>
          <w:color w:val="auto"/>
          <w:sz w:val="32"/>
          <w:szCs w:val="32"/>
          <w:u w:val="none"/>
        </w:rPr>
      </w:pPr>
    </w:p>
    <w:p w14:paraId="4F1AEB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0" w:firstLineChars="0"/>
        <w:jc w:val="center"/>
        <w:textAlignment w:val="auto"/>
        <w:rPr>
          <w:rFonts w:hint="eastAsia" w:ascii="黑体" w:hAnsi="黑体" w:eastAsia="黑体" w:cs="黑体"/>
          <w:b w:val="0"/>
          <w:bCs w:val="0"/>
          <w:color w:val="auto"/>
          <w:sz w:val="32"/>
          <w:szCs w:val="32"/>
          <w:u w:val="none"/>
        </w:rPr>
      </w:pPr>
      <w:r>
        <w:rPr>
          <w:rFonts w:hint="eastAsia" w:ascii="黑体" w:hAnsi="黑体" w:eastAsia="黑体" w:cs="黑体"/>
          <w:b w:val="0"/>
          <w:bCs w:val="0"/>
          <w:color w:val="auto"/>
          <w:sz w:val="32"/>
          <w:szCs w:val="32"/>
          <w:u w:val="none"/>
        </w:rPr>
        <w:t>第七章</w:t>
      </w:r>
      <w:r>
        <w:rPr>
          <w:rFonts w:hint="eastAsia" w:ascii="黑体" w:hAnsi="黑体" w:eastAsia="黑体" w:cs="黑体"/>
          <w:b w:val="0"/>
          <w:bCs w:val="0"/>
          <w:color w:val="auto"/>
          <w:sz w:val="32"/>
          <w:szCs w:val="32"/>
          <w:u w:val="none"/>
          <w:lang w:val="en-US" w:eastAsia="zh-CN"/>
        </w:rPr>
        <w:t xml:space="preserve"> </w:t>
      </w:r>
      <w:r>
        <w:rPr>
          <w:rFonts w:hint="eastAsia" w:ascii="黑体" w:hAnsi="黑体" w:eastAsia="黑体" w:cs="黑体"/>
          <w:b w:val="0"/>
          <w:bCs w:val="0"/>
          <w:color w:val="auto"/>
          <w:sz w:val="32"/>
          <w:szCs w:val="32"/>
          <w:u w:val="none"/>
        </w:rPr>
        <w:t>附则</w:t>
      </w:r>
    </w:p>
    <w:p w14:paraId="1D731F90">
      <w:pPr>
        <w:jc w:val="both"/>
        <w:rPr>
          <w:rFonts w:hint="eastAsia"/>
          <w:b w:val="0"/>
          <w:bCs w:val="0"/>
          <w:color w:val="auto"/>
          <w:u w:val="none"/>
        </w:rPr>
      </w:pPr>
    </w:p>
    <w:p w14:paraId="4CE59B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b w:val="0"/>
          <w:bCs w:val="0"/>
          <w:color w:val="auto"/>
          <w:sz w:val="32"/>
          <w:szCs w:val="32"/>
          <w:u w:val="none"/>
        </w:rPr>
      </w:pPr>
      <w:r>
        <w:rPr>
          <w:rFonts w:hint="eastAsia" w:ascii="黑体" w:hAnsi="黑体" w:eastAsia="黑体" w:cs="黑体"/>
          <w:b w:val="0"/>
          <w:bCs w:val="0"/>
          <w:color w:val="auto"/>
          <w:kern w:val="0"/>
          <w:sz w:val="32"/>
          <w:szCs w:val="32"/>
          <w:u w:val="none"/>
          <w:lang w:val="en-US" w:eastAsia="zh-CN" w:bidi="ar"/>
        </w:rPr>
        <w:t>第二十九条</w:t>
      </w:r>
      <w:r>
        <w:rPr>
          <w:rFonts w:hint="eastAsia" w:ascii="Nimbus Roman No9 L" w:hAnsi="Nimbus Roman No9 L" w:eastAsia="仿宋_GB2312" w:cs="仿宋_GB2312"/>
          <w:b w:val="0"/>
          <w:bCs w:val="0"/>
          <w:color w:val="auto"/>
          <w:kern w:val="0"/>
          <w:sz w:val="32"/>
          <w:szCs w:val="32"/>
          <w:u w:val="none"/>
          <w:lang w:val="en-US" w:eastAsia="zh-CN" w:bidi="ar"/>
        </w:rPr>
        <w:t xml:space="preserve"> 本细则由</w:t>
      </w:r>
      <w:r>
        <w:rPr>
          <w:rStyle w:val="12"/>
          <w:rFonts w:hint="eastAsia" w:ascii="Nimbus Roman No9 L" w:hAnsi="Nimbus Roman No9 L" w:eastAsia="仿宋_GB2312" w:cs="仿宋_GB2312"/>
          <w:b w:val="0"/>
          <w:bCs w:val="0"/>
          <w:color w:val="auto"/>
          <w:kern w:val="0"/>
          <w:sz w:val="32"/>
          <w:szCs w:val="32"/>
          <w:u w:val="none"/>
          <w:lang w:val="en-US" w:eastAsia="zh-CN" w:bidi="ar"/>
        </w:rPr>
        <w:t>市科技局、市财政局</w:t>
      </w:r>
      <w:r>
        <w:rPr>
          <w:rFonts w:hint="eastAsia" w:ascii="Nimbus Roman No9 L" w:hAnsi="Nimbus Roman No9 L" w:eastAsia="仿宋_GB2312" w:cs="仿宋_GB2312"/>
          <w:b w:val="0"/>
          <w:bCs w:val="0"/>
          <w:color w:val="auto"/>
          <w:kern w:val="0"/>
          <w:sz w:val="32"/>
          <w:szCs w:val="32"/>
          <w:u w:val="none"/>
          <w:lang w:val="en-US" w:eastAsia="zh-CN" w:bidi="ar"/>
        </w:rPr>
        <w:t>负责解释。</w:t>
      </w:r>
    </w:p>
    <w:p w14:paraId="19971C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18" w:firstLineChars="204"/>
        <w:jc w:val="both"/>
        <w:textAlignment w:val="auto"/>
        <w:rPr>
          <w:rFonts w:hint="eastAsia" w:ascii="Nimbus Roman No9 L" w:hAnsi="Nimbus Roman No9 L" w:eastAsia="仿宋_GB2312" w:cs="仿宋_GB2312"/>
          <w:color w:val="auto"/>
          <w:sz w:val="32"/>
          <w:szCs w:val="32"/>
          <w:u w:val="none"/>
        </w:rPr>
      </w:pPr>
      <w:r>
        <w:rPr>
          <w:rFonts w:hint="eastAsia" w:ascii="黑体" w:hAnsi="黑体" w:eastAsia="黑体" w:cs="黑体"/>
          <w:b w:val="0"/>
          <w:bCs w:val="0"/>
          <w:color w:val="auto"/>
          <w:kern w:val="0"/>
          <w:sz w:val="32"/>
          <w:szCs w:val="32"/>
          <w:u w:val="none"/>
          <w:lang w:val="en-US" w:eastAsia="zh-CN" w:bidi="ar"/>
        </w:rPr>
        <w:t>第三十条</w:t>
      </w:r>
      <w:r>
        <w:rPr>
          <w:rFonts w:hint="eastAsia" w:ascii="Nimbus Roman No9 L" w:hAnsi="Nimbus Roman No9 L" w:eastAsia="仿宋_GB2312" w:cs="仿宋_GB2312"/>
          <w:b w:val="0"/>
          <w:bCs w:val="0"/>
          <w:color w:val="auto"/>
          <w:kern w:val="0"/>
          <w:sz w:val="32"/>
          <w:szCs w:val="32"/>
          <w:u w:val="none"/>
          <w:lang w:val="en-US" w:eastAsia="zh-CN" w:bidi="ar"/>
        </w:rPr>
        <w:t xml:space="preserve"> 本细则自印发之日起</w:t>
      </w:r>
      <w:r>
        <w:rPr>
          <w:rFonts w:hint="eastAsia" w:ascii="Nimbus Roman No9 L" w:hAnsi="Nimbus Roman No9 L" w:eastAsia="仿宋_GB2312" w:cs="仿宋_GB2312"/>
          <w:color w:val="auto"/>
          <w:kern w:val="0"/>
          <w:sz w:val="32"/>
          <w:szCs w:val="32"/>
          <w:highlight w:val="none"/>
          <w:u w:val="none"/>
          <w:lang w:eastAsia="zh-CN" w:bidi="ar"/>
        </w:rPr>
        <w:t>试行</w:t>
      </w:r>
      <w:r>
        <w:rPr>
          <w:rFonts w:hint="eastAsia" w:ascii="Nimbus Roman No9 L" w:hAnsi="Nimbus Roman No9 L" w:eastAsia="仿宋_GB2312" w:cs="仿宋_GB2312"/>
          <w:color w:val="auto"/>
          <w:kern w:val="0"/>
          <w:sz w:val="32"/>
          <w:szCs w:val="32"/>
          <w:highlight w:val="none"/>
          <w:u w:val="none"/>
          <w:lang w:val="en-US" w:eastAsia="zh-CN" w:bidi="ar"/>
        </w:rPr>
        <w:t>1年</w:t>
      </w:r>
      <w:r>
        <w:rPr>
          <w:rFonts w:hint="eastAsia" w:ascii="Nimbus Roman No9 L" w:hAnsi="Nimbus Roman No9 L" w:eastAsia="仿宋_GB2312" w:cs="仿宋_GB2312"/>
          <w:b w:val="0"/>
          <w:bCs w:val="0"/>
          <w:color w:val="auto"/>
          <w:kern w:val="0"/>
          <w:sz w:val="32"/>
          <w:szCs w:val="32"/>
          <w:u w:val="none"/>
          <w:lang w:val="en-US" w:eastAsia="zh-CN" w:bidi="ar"/>
        </w:rPr>
        <w:t>，实施过程中根据实际情况适时修订；国家及本市出台新政策或规定的，遵照新规定执行。</w:t>
      </w:r>
    </w:p>
    <w:p w14:paraId="6A0DB91E">
      <w:pPr>
        <w:adjustRightInd w:val="0"/>
        <w:snapToGrid w:val="0"/>
        <w:spacing w:line="348" w:lineRule="auto"/>
        <w:ind w:firstLine="606" w:firstLineChars="200"/>
        <w:rPr>
          <w:rFonts w:eastAsia="仿宋_GB2312"/>
          <w:snapToGrid w:val="0"/>
          <w:kern w:val="0"/>
          <w:sz w:val="32"/>
          <w:szCs w:val="32"/>
          <w:u w:val="none"/>
        </w:rPr>
      </w:pPr>
    </w:p>
    <w:p w14:paraId="6F7451BD">
      <w:pPr>
        <w:ind w:right="-1" w:rightChars="-1" w:firstLine="303" w:firstLineChars="100"/>
        <w:rPr>
          <w:rFonts w:hint="eastAsia" w:ascii="仿宋_GB2312" w:eastAsia="仿宋_GB2312"/>
          <w:snapToGrid w:val="0"/>
          <w:kern w:val="0"/>
          <w:sz w:val="32"/>
          <w:szCs w:val="32"/>
          <w:u w:val="none"/>
        </w:rPr>
      </w:pPr>
    </w:p>
    <w:sectPr>
      <w:footerReference r:id="rId3" w:type="default"/>
      <w:footerReference r:id="rId4" w:type="even"/>
      <w:pgSz w:w="11906" w:h="16838"/>
      <w:pgMar w:top="2098" w:right="1474" w:bottom="1985" w:left="1588" w:header="851" w:footer="1077" w:gutter="0"/>
      <w:pgNumType w:fmt="numberInDash" w:start="1"/>
      <w:cols w:space="720" w:num="1"/>
      <w:docGrid w:type="linesAndChars" w:linePitch="579" w:charSpace="-36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Nimbus Roman No9 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B9A2E">
    <w:pPr>
      <w:pStyle w:val="7"/>
      <w:ind w:right="280"/>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p w14:paraId="3732BB83">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061AF">
    <w:pPr>
      <w:pStyle w:val="7"/>
      <w:ind w:firstLine="280" w:firstLineChars="100"/>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p w14:paraId="16D394D6">
    <w:pPr>
      <w:pStyle w:val="7"/>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96"/>
  <w:drawingGridVerticalSpacing w:val="579"/>
  <w:displayHorizontalDrawingGridEvery w:val="0"/>
  <w:displayVerticalDrawingGridEvery w:val="1"/>
  <w:characterSpacingControl w:val="compressPunctuation"/>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F581A"/>
    <w:rsid w:val="00002F68"/>
    <w:rsid w:val="000108DD"/>
    <w:rsid w:val="000144F3"/>
    <w:rsid w:val="00020C56"/>
    <w:rsid w:val="00033803"/>
    <w:rsid w:val="00046F69"/>
    <w:rsid w:val="00047EED"/>
    <w:rsid w:val="00056CC5"/>
    <w:rsid w:val="00057AEB"/>
    <w:rsid w:val="00072218"/>
    <w:rsid w:val="00083430"/>
    <w:rsid w:val="00083F8C"/>
    <w:rsid w:val="000A0ABC"/>
    <w:rsid w:val="000A4124"/>
    <w:rsid w:val="000B54C1"/>
    <w:rsid w:val="000B5FF0"/>
    <w:rsid w:val="000B6363"/>
    <w:rsid w:val="000B6B4C"/>
    <w:rsid w:val="000D3295"/>
    <w:rsid w:val="000D5F7A"/>
    <w:rsid w:val="00100C4E"/>
    <w:rsid w:val="001032D1"/>
    <w:rsid w:val="00107027"/>
    <w:rsid w:val="00152445"/>
    <w:rsid w:val="00163844"/>
    <w:rsid w:val="00166523"/>
    <w:rsid w:val="001A2DE2"/>
    <w:rsid w:val="001C0711"/>
    <w:rsid w:val="001D4F6B"/>
    <w:rsid w:val="001F2039"/>
    <w:rsid w:val="001F2E84"/>
    <w:rsid w:val="001F4533"/>
    <w:rsid w:val="001F581A"/>
    <w:rsid w:val="001F7967"/>
    <w:rsid w:val="00203F4A"/>
    <w:rsid w:val="00212C15"/>
    <w:rsid w:val="002305B4"/>
    <w:rsid w:val="00236910"/>
    <w:rsid w:val="00240AAF"/>
    <w:rsid w:val="002423F8"/>
    <w:rsid w:val="00260207"/>
    <w:rsid w:val="00266704"/>
    <w:rsid w:val="002709F3"/>
    <w:rsid w:val="00284EA7"/>
    <w:rsid w:val="00293EC0"/>
    <w:rsid w:val="002A212D"/>
    <w:rsid w:val="002A7BE3"/>
    <w:rsid w:val="002B63CF"/>
    <w:rsid w:val="002C284E"/>
    <w:rsid w:val="002C4980"/>
    <w:rsid w:val="002E404E"/>
    <w:rsid w:val="002E473F"/>
    <w:rsid w:val="002E7C55"/>
    <w:rsid w:val="002E7F7D"/>
    <w:rsid w:val="002F1C3F"/>
    <w:rsid w:val="002F5E29"/>
    <w:rsid w:val="00302117"/>
    <w:rsid w:val="00307012"/>
    <w:rsid w:val="00344FFC"/>
    <w:rsid w:val="003564B8"/>
    <w:rsid w:val="0036324B"/>
    <w:rsid w:val="00387230"/>
    <w:rsid w:val="0039089F"/>
    <w:rsid w:val="0039400E"/>
    <w:rsid w:val="003A0AC9"/>
    <w:rsid w:val="003A3DA5"/>
    <w:rsid w:val="003B29D8"/>
    <w:rsid w:val="003B38AB"/>
    <w:rsid w:val="003B3968"/>
    <w:rsid w:val="003E737B"/>
    <w:rsid w:val="003F3155"/>
    <w:rsid w:val="00406175"/>
    <w:rsid w:val="00411811"/>
    <w:rsid w:val="00421FC7"/>
    <w:rsid w:val="004226FF"/>
    <w:rsid w:val="004405C3"/>
    <w:rsid w:val="00442A6F"/>
    <w:rsid w:val="004440A5"/>
    <w:rsid w:val="0044535C"/>
    <w:rsid w:val="0045180F"/>
    <w:rsid w:val="00454417"/>
    <w:rsid w:val="004544E1"/>
    <w:rsid w:val="004655FB"/>
    <w:rsid w:val="004A07BE"/>
    <w:rsid w:val="004A2739"/>
    <w:rsid w:val="004A4E51"/>
    <w:rsid w:val="004B0A1A"/>
    <w:rsid w:val="004B5B63"/>
    <w:rsid w:val="004B5CEB"/>
    <w:rsid w:val="004B6ABC"/>
    <w:rsid w:val="004C289E"/>
    <w:rsid w:val="004C3631"/>
    <w:rsid w:val="004C4FFE"/>
    <w:rsid w:val="004D26C0"/>
    <w:rsid w:val="004F3D93"/>
    <w:rsid w:val="00506EAE"/>
    <w:rsid w:val="0055024E"/>
    <w:rsid w:val="0055385C"/>
    <w:rsid w:val="00553E11"/>
    <w:rsid w:val="00557316"/>
    <w:rsid w:val="00560A51"/>
    <w:rsid w:val="00561059"/>
    <w:rsid w:val="00573894"/>
    <w:rsid w:val="0057569C"/>
    <w:rsid w:val="005762AD"/>
    <w:rsid w:val="00584B0F"/>
    <w:rsid w:val="005860B8"/>
    <w:rsid w:val="005C06AF"/>
    <w:rsid w:val="005E38E6"/>
    <w:rsid w:val="005E6A9B"/>
    <w:rsid w:val="005F0582"/>
    <w:rsid w:val="005F0A0C"/>
    <w:rsid w:val="005F6DF5"/>
    <w:rsid w:val="00606809"/>
    <w:rsid w:val="00607A73"/>
    <w:rsid w:val="006174A7"/>
    <w:rsid w:val="006222EE"/>
    <w:rsid w:val="006225AD"/>
    <w:rsid w:val="0064073B"/>
    <w:rsid w:val="006439FE"/>
    <w:rsid w:val="00646DF0"/>
    <w:rsid w:val="00651824"/>
    <w:rsid w:val="00653696"/>
    <w:rsid w:val="00663A31"/>
    <w:rsid w:val="00664E24"/>
    <w:rsid w:val="0067276C"/>
    <w:rsid w:val="00677C1D"/>
    <w:rsid w:val="00677D79"/>
    <w:rsid w:val="006838F7"/>
    <w:rsid w:val="00686AE7"/>
    <w:rsid w:val="006871A3"/>
    <w:rsid w:val="00691700"/>
    <w:rsid w:val="006A05AB"/>
    <w:rsid w:val="006A2A00"/>
    <w:rsid w:val="006D62F0"/>
    <w:rsid w:val="006E5C7B"/>
    <w:rsid w:val="006F4EB6"/>
    <w:rsid w:val="00701D78"/>
    <w:rsid w:val="00711092"/>
    <w:rsid w:val="007177BD"/>
    <w:rsid w:val="00733C03"/>
    <w:rsid w:val="00734B13"/>
    <w:rsid w:val="00736EB7"/>
    <w:rsid w:val="00751B1B"/>
    <w:rsid w:val="00754CAD"/>
    <w:rsid w:val="00756732"/>
    <w:rsid w:val="007615B2"/>
    <w:rsid w:val="007640B0"/>
    <w:rsid w:val="00780B93"/>
    <w:rsid w:val="007816D4"/>
    <w:rsid w:val="007A7D56"/>
    <w:rsid w:val="007B2D83"/>
    <w:rsid w:val="007E0ACD"/>
    <w:rsid w:val="008003A1"/>
    <w:rsid w:val="00803B03"/>
    <w:rsid w:val="0080438F"/>
    <w:rsid w:val="0081210F"/>
    <w:rsid w:val="00830F62"/>
    <w:rsid w:val="0083146E"/>
    <w:rsid w:val="00844869"/>
    <w:rsid w:val="008512B8"/>
    <w:rsid w:val="00852CDE"/>
    <w:rsid w:val="00855652"/>
    <w:rsid w:val="00861F8F"/>
    <w:rsid w:val="0088379F"/>
    <w:rsid w:val="00887228"/>
    <w:rsid w:val="00894A0F"/>
    <w:rsid w:val="008B44FB"/>
    <w:rsid w:val="008C1364"/>
    <w:rsid w:val="008C6F81"/>
    <w:rsid w:val="008D303B"/>
    <w:rsid w:val="008E078B"/>
    <w:rsid w:val="008F5590"/>
    <w:rsid w:val="009210E4"/>
    <w:rsid w:val="00924233"/>
    <w:rsid w:val="00925F01"/>
    <w:rsid w:val="00934CBC"/>
    <w:rsid w:val="00943BFA"/>
    <w:rsid w:val="00957FEC"/>
    <w:rsid w:val="009634C8"/>
    <w:rsid w:val="0097001A"/>
    <w:rsid w:val="0097316F"/>
    <w:rsid w:val="009745EA"/>
    <w:rsid w:val="00974A79"/>
    <w:rsid w:val="0098720A"/>
    <w:rsid w:val="00987666"/>
    <w:rsid w:val="00996125"/>
    <w:rsid w:val="009B117D"/>
    <w:rsid w:val="009B265E"/>
    <w:rsid w:val="009B273F"/>
    <w:rsid w:val="009B62F6"/>
    <w:rsid w:val="009C28DB"/>
    <w:rsid w:val="009F3FA1"/>
    <w:rsid w:val="009F7282"/>
    <w:rsid w:val="00A24651"/>
    <w:rsid w:val="00A271FD"/>
    <w:rsid w:val="00A324DD"/>
    <w:rsid w:val="00A441EB"/>
    <w:rsid w:val="00A456D6"/>
    <w:rsid w:val="00A461E7"/>
    <w:rsid w:val="00A51E02"/>
    <w:rsid w:val="00A55425"/>
    <w:rsid w:val="00A640FE"/>
    <w:rsid w:val="00A721F3"/>
    <w:rsid w:val="00A72D3A"/>
    <w:rsid w:val="00AA4669"/>
    <w:rsid w:val="00AA5A4E"/>
    <w:rsid w:val="00AB067D"/>
    <w:rsid w:val="00AC06C1"/>
    <w:rsid w:val="00AC7B35"/>
    <w:rsid w:val="00AD4BE8"/>
    <w:rsid w:val="00AE4E9E"/>
    <w:rsid w:val="00B03350"/>
    <w:rsid w:val="00B04A5D"/>
    <w:rsid w:val="00B063DE"/>
    <w:rsid w:val="00B13A78"/>
    <w:rsid w:val="00B2774B"/>
    <w:rsid w:val="00B4057A"/>
    <w:rsid w:val="00B435AA"/>
    <w:rsid w:val="00B50BC0"/>
    <w:rsid w:val="00B755E8"/>
    <w:rsid w:val="00B87CD9"/>
    <w:rsid w:val="00B905BD"/>
    <w:rsid w:val="00B92693"/>
    <w:rsid w:val="00B957BC"/>
    <w:rsid w:val="00BA30C6"/>
    <w:rsid w:val="00BC6989"/>
    <w:rsid w:val="00BD18D1"/>
    <w:rsid w:val="00BE1878"/>
    <w:rsid w:val="00BE49A2"/>
    <w:rsid w:val="00C07644"/>
    <w:rsid w:val="00C11C8F"/>
    <w:rsid w:val="00C359AB"/>
    <w:rsid w:val="00C67352"/>
    <w:rsid w:val="00C759DC"/>
    <w:rsid w:val="00C95D69"/>
    <w:rsid w:val="00CA1F4C"/>
    <w:rsid w:val="00CA21F7"/>
    <w:rsid w:val="00CA3007"/>
    <w:rsid w:val="00CA3D61"/>
    <w:rsid w:val="00CC78A6"/>
    <w:rsid w:val="00CE12DB"/>
    <w:rsid w:val="00CE4F91"/>
    <w:rsid w:val="00CE7C32"/>
    <w:rsid w:val="00D02E91"/>
    <w:rsid w:val="00D16175"/>
    <w:rsid w:val="00D5337E"/>
    <w:rsid w:val="00D61775"/>
    <w:rsid w:val="00D8047C"/>
    <w:rsid w:val="00D9366D"/>
    <w:rsid w:val="00DA21F7"/>
    <w:rsid w:val="00DB345F"/>
    <w:rsid w:val="00DB6AD6"/>
    <w:rsid w:val="00DC005F"/>
    <w:rsid w:val="00DE39EC"/>
    <w:rsid w:val="00DE75AF"/>
    <w:rsid w:val="00E1729F"/>
    <w:rsid w:val="00E266FF"/>
    <w:rsid w:val="00E34793"/>
    <w:rsid w:val="00E55524"/>
    <w:rsid w:val="00E5598D"/>
    <w:rsid w:val="00E6116D"/>
    <w:rsid w:val="00E63ACA"/>
    <w:rsid w:val="00E6431C"/>
    <w:rsid w:val="00E6475D"/>
    <w:rsid w:val="00E65710"/>
    <w:rsid w:val="00E7395C"/>
    <w:rsid w:val="00E822E8"/>
    <w:rsid w:val="00E85DD6"/>
    <w:rsid w:val="00E94D61"/>
    <w:rsid w:val="00EA487E"/>
    <w:rsid w:val="00EB2C93"/>
    <w:rsid w:val="00EE40D5"/>
    <w:rsid w:val="00EE6236"/>
    <w:rsid w:val="00EF7F01"/>
    <w:rsid w:val="00F029BA"/>
    <w:rsid w:val="00F053BE"/>
    <w:rsid w:val="00F1314D"/>
    <w:rsid w:val="00F20482"/>
    <w:rsid w:val="00F207A1"/>
    <w:rsid w:val="00F21126"/>
    <w:rsid w:val="00F33D68"/>
    <w:rsid w:val="00F5206D"/>
    <w:rsid w:val="00F86262"/>
    <w:rsid w:val="00F97090"/>
    <w:rsid w:val="00FB54A6"/>
    <w:rsid w:val="00FB7289"/>
    <w:rsid w:val="00FC3C6A"/>
    <w:rsid w:val="00FD1646"/>
    <w:rsid w:val="00FD217E"/>
    <w:rsid w:val="00FD287E"/>
    <w:rsid w:val="00FD69BA"/>
    <w:rsid w:val="00FF15CC"/>
    <w:rsid w:val="0F5B9D48"/>
    <w:rsid w:val="26F5F4A0"/>
    <w:rsid w:val="3F4073D5"/>
    <w:rsid w:val="4C142B3F"/>
    <w:rsid w:val="575C49FF"/>
    <w:rsid w:val="5ABC8C94"/>
    <w:rsid w:val="5BF53142"/>
    <w:rsid w:val="5C97A076"/>
    <w:rsid w:val="5DDD37D9"/>
    <w:rsid w:val="5E2F326E"/>
    <w:rsid w:val="5EF32495"/>
    <w:rsid w:val="5FDFCA04"/>
    <w:rsid w:val="73D7C703"/>
    <w:rsid w:val="73F76FCE"/>
    <w:rsid w:val="762C1320"/>
    <w:rsid w:val="77DF4774"/>
    <w:rsid w:val="7BBD549A"/>
    <w:rsid w:val="7BEED9C9"/>
    <w:rsid w:val="7BF19907"/>
    <w:rsid w:val="7BF30E98"/>
    <w:rsid w:val="7DA9714E"/>
    <w:rsid w:val="7DBF2EFF"/>
    <w:rsid w:val="7DFAB2AF"/>
    <w:rsid w:val="7E7B3FE5"/>
    <w:rsid w:val="7EF7106E"/>
    <w:rsid w:val="7FB665F3"/>
    <w:rsid w:val="7FFF9FB9"/>
    <w:rsid w:val="96ED914F"/>
    <w:rsid w:val="97F67621"/>
    <w:rsid w:val="AFFD4F72"/>
    <w:rsid w:val="BB4E3EFE"/>
    <w:rsid w:val="BBFE8428"/>
    <w:rsid w:val="BBFF4845"/>
    <w:rsid w:val="BEEFE46F"/>
    <w:rsid w:val="CEF14462"/>
    <w:rsid w:val="CFBE081B"/>
    <w:rsid w:val="D3FB10F3"/>
    <w:rsid w:val="DAF2488B"/>
    <w:rsid w:val="DAFBC172"/>
    <w:rsid w:val="DD8B483C"/>
    <w:rsid w:val="E1DDF80B"/>
    <w:rsid w:val="E7DB1A43"/>
    <w:rsid w:val="EB7B7BBF"/>
    <w:rsid w:val="ECBABFA9"/>
    <w:rsid w:val="EDEF14A0"/>
    <w:rsid w:val="EEBAFDA1"/>
    <w:rsid w:val="EFBEAB53"/>
    <w:rsid w:val="EFEFE561"/>
    <w:rsid w:val="F37B42A1"/>
    <w:rsid w:val="F6DC9A2B"/>
    <w:rsid w:val="F76696C5"/>
    <w:rsid w:val="F7B7BF69"/>
    <w:rsid w:val="F7DE6D5C"/>
    <w:rsid w:val="F7F33C6F"/>
    <w:rsid w:val="F7FDCA41"/>
    <w:rsid w:val="FAFF78DE"/>
    <w:rsid w:val="FB7CDCEB"/>
    <w:rsid w:val="FCDF58D8"/>
    <w:rsid w:val="FEBFE31A"/>
    <w:rsid w:val="FF1DF1B0"/>
    <w:rsid w:val="FF3DBA5E"/>
    <w:rsid w:val="FFFD83FF"/>
    <w:rsid w:val="FFFEEE05"/>
    <w:rsid w:val="FFFFB7B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5">
    <w:name w:val="Date"/>
    <w:basedOn w:val="1"/>
    <w:next w:val="1"/>
    <w:qFormat/>
    <w:uiPriority w:val="0"/>
    <w:pPr>
      <w:ind w:left="100" w:leftChars="2500"/>
    </w:pPr>
    <w:rPr>
      <w:rFonts w:ascii="仿宋_GB2312" w:eastAsia="仿宋_GB2312"/>
      <w:sz w:val="32"/>
    </w:rPr>
  </w:style>
  <w:style w:type="paragraph" w:styleId="6">
    <w:name w:val="Balloon Text"/>
    <w:basedOn w:val="1"/>
    <w:semiHidden/>
    <w:qFormat/>
    <w:uiPriority w:val="0"/>
    <w:rPr>
      <w:sz w:val="18"/>
      <w:szCs w:val="18"/>
    </w:rPr>
  </w:style>
  <w:style w:type="paragraph" w:styleId="7">
    <w:name w:val="footer"/>
    <w:basedOn w:val="1"/>
    <w:link w:val="14"/>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basedOn w:val="11"/>
    <w:qFormat/>
    <w:uiPriority w:val="0"/>
  </w:style>
  <w:style w:type="character" w:customStyle="1" w:styleId="14">
    <w:name w:val="页脚 Char"/>
    <w:link w:val="7"/>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opt\kingsoft\wps-office\office6\C:\Documents%20and%20Settings\Hangyan\Application%20Data\Microsoft\Templates\&#24179;&#32423;&#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平级发文</Template>
  <Company>tjec</Company>
  <Pages>10</Pages>
  <Words>4338</Words>
  <Characters>4360</Characters>
  <Lines>4</Lines>
  <Paragraphs>1</Paragraphs>
  <TotalTime>1</TotalTime>
  <ScaleCrop>false</ScaleCrop>
  <LinksUpToDate>false</LinksUpToDate>
  <CharactersWithSpaces>4399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2017-06-15T11:09:00Z</dcterms:created>
  <dc:creator>办公室</dc:creator>
  <cp:lastModifiedBy>对方正在输入...</cp:lastModifiedBy>
  <cp:lastPrinted>2026-09-15T10:35:00Z</cp:lastPrinted>
  <dcterms:modified xsi:type="dcterms:W3CDTF">2026-09-21T03:09:55Z</dcterms:modified>
  <dc:title>津经[2003]号</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1C33D9C10B404B21966C43F3B06BB123_13</vt:lpwstr>
  </property>
</Properties>
</file>