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F63CD">
      <w:pPr>
        <w:widowControl/>
        <w:kinsoku w:val="0"/>
        <w:autoSpaceDE w:val="0"/>
        <w:autoSpaceDN w:val="0"/>
        <w:adjustRightInd w:val="0"/>
        <w:snapToGrid w:val="0"/>
        <w:spacing w:line="70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天津港保税区关于促进先进制造业</w:t>
      </w:r>
    </w:p>
    <w:p w14:paraId="372747FB">
      <w:pPr>
        <w:widowControl/>
        <w:kinsoku w:val="0"/>
        <w:autoSpaceDE w:val="0"/>
        <w:autoSpaceDN w:val="0"/>
        <w:adjustRightInd w:val="0"/>
        <w:snapToGrid w:val="0"/>
        <w:spacing w:line="7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招商引资的若干政策措施</w:t>
      </w:r>
    </w:p>
    <w:p w14:paraId="04B77B76">
      <w:pPr>
        <w:widowControl/>
        <w:kinsoku w:val="0"/>
        <w:autoSpaceDE w:val="0"/>
        <w:autoSpaceDN w:val="0"/>
        <w:adjustRightInd w:val="0"/>
        <w:snapToGrid w:val="0"/>
        <w:spacing w:line="700" w:lineRule="exact"/>
        <w:jc w:val="center"/>
        <w:textAlignment w:val="baseline"/>
        <w:rPr>
          <w:rFonts w:hint="eastAsia" w:ascii="楷体" w:hAnsi="楷体" w:eastAsia="楷体" w:cs="楷体"/>
          <w:b w:val="0"/>
          <w:bCs w:val="0"/>
          <w:sz w:val="34"/>
          <w:szCs w:val="34"/>
          <w:highlight w:val="none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4"/>
          <w:szCs w:val="34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4"/>
          <w:szCs w:val="34"/>
          <w:highlight w:val="none"/>
          <w:lang w:val="en-US" w:eastAsia="zh-CN"/>
        </w:rPr>
        <w:t>征求意见稿</w:t>
      </w:r>
      <w:r>
        <w:rPr>
          <w:rFonts w:hint="eastAsia" w:ascii="楷体" w:hAnsi="楷体" w:eastAsia="楷体" w:cs="楷体"/>
          <w:b w:val="0"/>
          <w:bCs w:val="0"/>
          <w:sz w:val="34"/>
          <w:szCs w:val="34"/>
          <w:highlight w:val="none"/>
          <w:lang w:eastAsia="zh-CN"/>
        </w:rPr>
        <w:t>）</w:t>
      </w:r>
    </w:p>
    <w:p w14:paraId="608F3B10">
      <w:pPr>
        <w:spacing w:line="247" w:lineRule="auto"/>
        <w:rPr>
          <w:rFonts w:ascii="Arial"/>
          <w:highlight w:val="none"/>
        </w:rPr>
      </w:pPr>
    </w:p>
    <w:p w14:paraId="733497F4">
      <w:pPr>
        <w:widowControl/>
        <w:kinsoku w:val="0"/>
        <w:autoSpaceDE w:val="0"/>
        <w:autoSpaceDN w:val="0"/>
        <w:adjustRightInd w:val="0"/>
        <w:snapToGrid w:val="0"/>
        <w:spacing w:line="588" w:lineRule="exact"/>
        <w:textAlignment w:val="baseline"/>
        <w:rPr>
          <w:rFonts w:ascii="仿宋" w:hAnsi="仿宋" w:eastAsia="仿宋" w:cs="仿宋"/>
          <w:sz w:val="34"/>
          <w:szCs w:val="34"/>
          <w:highlight w:val="none"/>
        </w:rPr>
      </w:pPr>
    </w:p>
    <w:p w14:paraId="04F0FD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5"/>
        <w:jc w:val="both"/>
        <w:textAlignment w:val="baseline"/>
        <w:rPr>
          <w:rFonts w:hint="eastAsia" w:ascii="楷体" w:hAnsi="楷体" w:eastAsia="楷体" w:cs="楷体"/>
          <w:b/>
          <w:sz w:val="34"/>
          <w:szCs w:val="3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为加快培育壮大新质生产力，提速实施制造业高质量发展行动，按照《工信部关于加快传统制造业转型升级的指导意见》，进一步落实《天津推动制造业高质量发展若干政策措施》相关要求，持续推进天津港保税区新型工业化进程，大力发展新一代信息技术、高端装备制造、新能源新材料、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生物医药、海洋经济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等战略性新兴产业；积极引导投资布局‌具身智能、智算超算、新型储能、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商业航天、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下一代移动通信‌等未来领域，构建以先进制造业为骨干的现代化产业体系。结合保税区实际，制定本政策措施。</w:t>
      </w:r>
    </w:p>
    <w:p w14:paraId="69B6C037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adjustRightInd w:val="0"/>
        <w:snapToGrid w:val="0"/>
        <w:spacing w:line="588" w:lineRule="exact"/>
        <w:ind w:firstLine="683" w:firstLineChars="200"/>
        <w:rPr>
          <w:rFonts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楷体" w:hAnsi="楷体" w:eastAsia="楷体" w:cs="楷体"/>
          <w:b/>
          <w:sz w:val="34"/>
          <w:szCs w:val="34"/>
          <w:highlight w:val="none"/>
          <w:lang w:val="en-US" w:eastAsia="zh-CN"/>
        </w:rPr>
        <w:t>第一条 支持</w:t>
      </w: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项目载体资源高效配置。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促进先进制造业项目集聚发展，坚持盘活存量、优化增量，提高项目载体利用效率。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对于项目租赁、自建或购买区内载体，择一给予支持。</w:t>
      </w:r>
    </w:p>
    <w:p w14:paraId="29F0BD21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adjustRightInd w:val="0"/>
        <w:snapToGrid w:val="0"/>
        <w:spacing w:line="588" w:lineRule="exact"/>
        <w:ind w:firstLine="683" w:firstLineChars="200"/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4"/>
          <w:szCs w:val="34"/>
          <w:highlight w:val="none"/>
          <w:lang w:val="en-US" w:eastAsia="zh-CN"/>
        </w:rPr>
        <w:t>（一）对于</w:t>
      </w:r>
      <w:r>
        <w:rPr>
          <w:rFonts w:hint="eastAsia" w:ascii="仿宋_GB2312" w:hAnsi="仿宋_GB2312" w:eastAsia="仿宋_GB2312" w:cs="仿宋_GB2312"/>
          <w:b/>
          <w:bCs/>
          <w:sz w:val="34"/>
          <w:szCs w:val="34"/>
          <w:highlight w:val="none"/>
        </w:rPr>
        <w:t>项目租赁</w:t>
      </w:r>
      <w:r>
        <w:rPr>
          <w:rFonts w:hint="eastAsia" w:ascii="仿宋_GB2312" w:hAnsi="仿宋_GB2312" w:eastAsia="仿宋_GB2312" w:cs="仿宋_GB2312"/>
          <w:b/>
          <w:bCs/>
          <w:sz w:val="34"/>
          <w:szCs w:val="34"/>
          <w:highlight w:val="none"/>
          <w:lang w:val="en-US" w:eastAsia="zh-CN"/>
        </w:rPr>
        <w:t>载体。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租赁区内厂房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开展生产经营活动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，按照最高不超过</w:t>
      </w:r>
      <w:r>
        <w:rPr>
          <w:rFonts w:ascii="仿宋_GB2312" w:hAnsi="仿宋_GB2312" w:eastAsia="仿宋_GB2312" w:cs="仿宋_GB2312"/>
          <w:sz w:val="34"/>
          <w:szCs w:val="34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元/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平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米/天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标准，给予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80%租金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支持。支持期限三年，最高不超过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10000平米。按照租赁面积的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具体支持额度为：</w:t>
      </w:r>
    </w:p>
    <w:p w14:paraId="6853A1C8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adjustRightInd w:val="0"/>
        <w:snapToGrid w:val="0"/>
        <w:spacing w:line="588" w:lineRule="exact"/>
        <w:ind w:firstLine="680" w:firstLineChars="200"/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）2000（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含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）平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米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以下，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不超过350万元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；</w:t>
      </w:r>
    </w:p>
    <w:p w14:paraId="669249CC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adjustRightInd w:val="0"/>
        <w:snapToGrid w:val="0"/>
        <w:spacing w:line="588" w:lineRule="exact"/>
        <w:ind w:firstLine="680" w:firstLineChars="200"/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）2000-5000（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含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）平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米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，不超过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900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万元；</w:t>
      </w:r>
    </w:p>
    <w:p w14:paraId="56402EF0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adjustRightInd w:val="0"/>
        <w:snapToGrid w:val="0"/>
        <w:spacing w:line="588" w:lineRule="exact"/>
        <w:ind w:firstLine="680" w:firstLineChars="200"/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）5000-10000（含）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平米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，不超过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1800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万元。</w:t>
      </w:r>
    </w:p>
    <w:p w14:paraId="43D98DAC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adjustRightInd w:val="0"/>
        <w:snapToGrid w:val="0"/>
        <w:spacing w:line="588" w:lineRule="exact"/>
        <w:ind w:firstLine="680" w:firstLineChars="200"/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租赁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研发楼宇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的，按照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25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平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米/人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给予支持；</w:t>
      </w:r>
      <w:r>
        <w:rPr>
          <w:rFonts w:hint="eastAsia" w:ascii="仿宋_GB2312" w:hAnsi="仿宋_GB2312" w:eastAsia="仿宋_GB2312" w:cs="仿宋_GB2312"/>
          <w:i w:val="0"/>
          <w:iCs w:val="0"/>
          <w:sz w:val="34"/>
          <w:szCs w:val="34"/>
          <w:highlight w:val="none"/>
          <w:lang w:eastAsia="zh-CN"/>
        </w:rPr>
        <w:t>单价标准、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支持比例、</w:t>
      </w:r>
      <w:r>
        <w:rPr>
          <w:rFonts w:hint="eastAsia" w:ascii="仿宋_GB2312" w:hAnsi="仿宋_GB2312" w:eastAsia="仿宋_GB2312" w:cs="仿宋_GB2312"/>
          <w:i w:val="0"/>
          <w:iCs w:val="0"/>
          <w:sz w:val="34"/>
          <w:szCs w:val="34"/>
          <w:highlight w:val="none"/>
          <w:lang w:eastAsia="zh-CN"/>
        </w:rPr>
        <w:t>支持年限、最高平米数、支持额度，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参照上述标准执行。</w:t>
      </w:r>
    </w:p>
    <w:p w14:paraId="4F59330A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88" w:lineRule="exact"/>
        <w:ind w:firstLine="683" w:firstLineChars="200"/>
        <w:rPr>
          <w:rFonts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4"/>
          <w:szCs w:val="34"/>
          <w:highlight w:val="none"/>
          <w:lang w:eastAsia="zh-CN"/>
        </w:rPr>
        <w:t>（二）对于</w:t>
      </w:r>
      <w:r>
        <w:rPr>
          <w:rFonts w:hint="eastAsia" w:ascii="仿宋_GB2312" w:hAnsi="仿宋_GB2312" w:eastAsia="仿宋_GB2312" w:cs="仿宋_GB2312"/>
          <w:b/>
          <w:bCs/>
          <w:sz w:val="34"/>
          <w:szCs w:val="34"/>
          <w:highlight w:val="none"/>
        </w:rPr>
        <w:t>项目购置</w:t>
      </w:r>
      <w:r>
        <w:rPr>
          <w:rFonts w:hint="eastAsia" w:ascii="仿宋_GB2312" w:hAnsi="仿宋_GB2312" w:eastAsia="仿宋_GB2312" w:cs="仿宋_GB2312"/>
          <w:b/>
          <w:bCs/>
          <w:sz w:val="34"/>
          <w:szCs w:val="34"/>
          <w:highlight w:val="none"/>
          <w:lang w:eastAsia="zh-CN"/>
        </w:rPr>
        <w:t>载体</w:t>
      </w:r>
      <w:r>
        <w:rPr>
          <w:rFonts w:hint="eastAsia" w:ascii="仿宋_GB2312" w:hAnsi="仿宋_GB2312" w:eastAsia="仿宋_GB2312" w:cs="仿宋_GB2312"/>
          <w:b/>
          <w:bCs/>
          <w:sz w:val="34"/>
          <w:szCs w:val="34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购置自用厂房或楼宇，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按照最高不超过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购置价格</w:t>
      </w:r>
      <w:r>
        <w:rPr>
          <w:rFonts w:ascii="仿宋_GB2312" w:hAnsi="仿宋_GB2312" w:eastAsia="仿宋_GB2312" w:cs="仿宋_GB2312"/>
          <w:sz w:val="34"/>
          <w:szCs w:val="34"/>
          <w:highlight w:val="none"/>
        </w:rPr>
        <w:t>10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给予一次性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支持，最高不超过500万元。完成购置房产产权手续并实现项目投产拨付50%；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实现项目经营预期目标拨付剩余50%。按照购置面积的具体支持标准为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：</w:t>
      </w:r>
    </w:p>
    <w:p w14:paraId="2688300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88" w:lineRule="exact"/>
        <w:ind w:firstLine="68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000-</w:t>
      </w:r>
      <w:r>
        <w:rPr>
          <w:rFonts w:ascii="仿宋_GB2312" w:hAnsi="仿宋_GB2312" w:eastAsia="仿宋_GB2312" w:cs="仿宋_GB2312"/>
          <w:b w:val="0"/>
          <w:bCs w:val="0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000（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4"/>
          <w:szCs w:val="34"/>
          <w:highlight w:val="none"/>
          <w:lang w:eastAsia="zh-CN"/>
          <w14:textFill>
            <w14:solidFill>
              <w14:schemeClr w14:val="tx1"/>
            </w14:solidFill>
          </w14:textFill>
        </w:rPr>
        <w:t>含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）平米的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4"/>
          <w:szCs w:val="34"/>
          <w:highlight w:val="none"/>
          <w:lang w:eastAsia="zh-CN"/>
          <w14:textFill>
            <w14:solidFill>
              <w14:schemeClr w14:val="tx1"/>
            </w14:solidFill>
          </w14:textFill>
        </w:rPr>
        <w:t>，支持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购置价格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4"/>
          <w:szCs w:val="34"/>
          <w:highlight w:val="none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5%；</w:t>
      </w:r>
    </w:p>
    <w:p w14:paraId="57CF016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88" w:lineRule="exact"/>
        <w:ind w:firstLine="680" w:firstLineChars="200"/>
        <w:rPr>
          <w:rFonts w:hint="eastAsia"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（</w:t>
      </w:r>
      <w:r>
        <w:rPr>
          <w:rFonts w:ascii="仿宋_GB2312" w:hAnsi="仿宋_GB2312" w:eastAsia="仿宋_GB2312" w:cs="仿宋_GB2312"/>
          <w:sz w:val="34"/>
          <w:szCs w:val="34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）10000平米以上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的，支持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购置价格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1</w:t>
      </w:r>
      <w:r>
        <w:rPr>
          <w:rFonts w:ascii="仿宋_GB2312" w:hAnsi="仿宋_GB2312" w:eastAsia="仿宋_GB2312" w:cs="仿宋_GB2312"/>
          <w:sz w:val="34"/>
          <w:szCs w:val="34"/>
          <w:highlight w:val="none"/>
        </w:rPr>
        <w:t>0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%。</w:t>
      </w:r>
    </w:p>
    <w:p w14:paraId="5CBEE3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5"/>
        <w:jc w:val="both"/>
        <w:textAlignment w:val="baseline"/>
        <w:rPr>
          <w:rFonts w:hint="eastAsia"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4"/>
          <w:szCs w:val="34"/>
          <w:highlight w:val="none"/>
          <w:lang w:eastAsia="zh-CN"/>
        </w:rPr>
        <w:t>（三）对于</w:t>
      </w:r>
      <w:r>
        <w:rPr>
          <w:rFonts w:hint="eastAsia" w:ascii="仿宋_GB2312" w:hAnsi="仿宋_GB2312" w:eastAsia="仿宋_GB2312" w:cs="仿宋_GB2312"/>
          <w:b/>
          <w:bCs/>
          <w:sz w:val="34"/>
          <w:szCs w:val="34"/>
          <w:highlight w:val="none"/>
        </w:rPr>
        <w:t>项目新建载体。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按照最高不超过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项目载体建设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资金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额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20%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给予一次性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支持，最高不超过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亿元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，根据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建设资金额投入进度支付。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按照建设资金额的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具体支持标准为：</w:t>
      </w:r>
    </w:p>
    <w:p w14:paraId="638C91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5"/>
        <w:jc w:val="both"/>
        <w:textAlignment w:val="baseline"/>
        <w:rPr>
          <w:rFonts w:hint="eastAsia"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（1）1000万元-5000万元（含）的按照10%；</w:t>
      </w:r>
    </w:p>
    <w:p w14:paraId="372D45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5"/>
        <w:jc w:val="both"/>
        <w:textAlignment w:val="baseline"/>
        <w:rPr>
          <w:rFonts w:hint="eastAsia"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（2）5000万元-1亿元（含）的按照15%；</w:t>
      </w:r>
    </w:p>
    <w:p w14:paraId="3DE013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5"/>
        <w:jc w:val="both"/>
        <w:textAlignment w:val="baseline"/>
        <w:rPr>
          <w:rFonts w:hint="eastAsia"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（3）1亿元以上的按照20%。</w:t>
      </w:r>
    </w:p>
    <w:p w14:paraId="15B4F1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5"/>
        <w:jc w:val="both"/>
        <w:textAlignment w:val="baseline"/>
        <w:rPr>
          <w:rFonts w:hint="eastAsia"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第</w:t>
      </w:r>
      <w:r>
        <w:rPr>
          <w:rFonts w:hint="eastAsia" w:ascii="楷体" w:hAnsi="楷体" w:eastAsia="楷体" w:cs="楷体"/>
          <w:b/>
          <w:sz w:val="34"/>
          <w:szCs w:val="34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条</w:t>
      </w:r>
      <w:r>
        <w:rPr>
          <w:rFonts w:hint="eastAsia" w:ascii="楷体" w:hAnsi="楷体" w:eastAsia="楷体" w:cs="楷体"/>
          <w:b/>
          <w:sz w:val="34"/>
          <w:szCs w:val="3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支持</w:t>
      </w:r>
      <w:r>
        <w:rPr>
          <w:rFonts w:hint="eastAsia" w:ascii="楷体" w:hAnsi="楷体" w:eastAsia="楷体" w:cs="楷体"/>
          <w:b/>
          <w:sz w:val="34"/>
          <w:szCs w:val="34"/>
          <w:highlight w:val="none"/>
          <w:lang w:eastAsia="zh-CN"/>
        </w:rPr>
        <w:t>项目提高投资强度。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促进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符合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先进制造业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发展方向的项目，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加大生产性设备和信息化投入。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按照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最高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不超过硬件设备投入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（含与硬件设备相关联的软件投入）的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30%给予支持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。支持期限三年，最高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不超过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亿元。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按照实际投入金额的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具体支持标准为：</w:t>
      </w:r>
    </w:p>
    <w:p w14:paraId="48508A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5"/>
        <w:jc w:val="both"/>
        <w:textAlignment w:val="baseline"/>
        <w:rPr>
          <w:rFonts w:hint="eastAsia"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 xml:space="preserve">）1000-2500万元（含）的按照10%； </w:t>
      </w:r>
    </w:p>
    <w:p w14:paraId="5E8A60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5"/>
        <w:jc w:val="both"/>
        <w:textAlignment w:val="baseline"/>
        <w:rPr>
          <w:rFonts w:hint="eastAsia"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 xml:space="preserve">（2）2500万元-5000万元（含）的按照15%； </w:t>
      </w:r>
    </w:p>
    <w:p w14:paraId="402249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5"/>
        <w:jc w:val="both"/>
        <w:textAlignment w:val="baseline"/>
        <w:rPr>
          <w:rFonts w:hint="eastAsia"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 xml:space="preserve">（3）5000万元-1亿元（含）的按照20%； </w:t>
      </w:r>
    </w:p>
    <w:p w14:paraId="00EE3F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5"/>
        <w:jc w:val="both"/>
        <w:textAlignment w:val="baseline"/>
        <w:rPr>
          <w:rFonts w:hint="eastAsia"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（4）1亿元以上的按照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0%。</w:t>
      </w:r>
    </w:p>
    <w:p w14:paraId="5368CFE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88" w:lineRule="exact"/>
        <w:ind w:firstLine="683" w:firstLineChars="200"/>
        <w:rPr>
          <w:rFonts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第</w:t>
      </w:r>
      <w:r>
        <w:rPr>
          <w:rFonts w:hint="eastAsia" w:ascii="楷体" w:hAnsi="楷体" w:eastAsia="楷体" w:cs="楷体"/>
          <w:b/>
          <w:sz w:val="34"/>
          <w:szCs w:val="34"/>
          <w:highlight w:val="none"/>
          <w:lang w:val="en-US" w:eastAsia="zh-CN"/>
        </w:rPr>
        <w:t>三</w:t>
      </w: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条 支持</w:t>
      </w:r>
      <w:r>
        <w:rPr>
          <w:rFonts w:hint="eastAsia" w:ascii="楷体" w:hAnsi="楷体" w:eastAsia="楷体" w:cs="楷体"/>
          <w:b/>
          <w:sz w:val="34"/>
          <w:szCs w:val="34"/>
          <w:highlight w:val="none"/>
          <w:lang w:eastAsia="zh-CN"/>
        </w:rPr>
        <w:t>项目</w:t>
      </w: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加大研</w:t>
      </w:r>
      <w:r>
        <w:rPr>
          <w:rFonts w:hint="eastAsia" w:ascii="楷体" w:hAnsi="楷体" w:eastAsia="楷体" w:cs="楷体"/>
          <w:b/>
          <w:sz w:val="34"/>
          <w:szCs w:val="34"/>
          <w:highlight w:val="none"/>
          <w:lang w:eastAsia="zh-CN"/>
        </w:rPr>
        <w:t>发投入</w:t>
      </w: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年度研发费用不低于</w:t>
      </w:r>
      <w:r>
        <w:rPr>
          <w:rFonts w:ascii="仿宋_GB2312" w:hAnsi="仿宋_GB2312" w:eastAsia="仿宋_GB2312" w:cs="仿宋_GB2312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00万元的，按</w:t>
      </w:r>
      <w:r>
        <w:rPr>
          <w:rFonts w:hint="eastAsia" w:ascii="仿宋_GB2312" w:hAnsi="仿宋_GB2312" w:eastAsia="仿宋_GB2312" w:cs="仿宋_GB2312"/>
          <w:color w:val="000000" w:themeColor="text1"/>
          <w:sz w:val="34"/>
          <w:szCs w:val="34"/>
          <w:highlight w:val="none"/>
          <w:lang w:eastAsia="zh-CN"/>
          <w14:textFill>
            <w14:solidFill>
              <w14:schemeClr w14:val="tx1"/>
            </w14:solidFill>
          </w14:textFill>
        </w:rPr>
        <w:t>照</w:t>
      </w:r>
      <w:r>
        <w:rPr>
          <w:rFonts w:hint="eastAsia" w:ascii="仿宋_GB2312" w:hAnsi="仿宋_GB2312" w:eastAsia="仿宋_GB2312" w:cs="仿宋_GB2312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最高不超过年度研发费用的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50%给予支持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，期限五年。按照研发投入的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具体支持标准如下：</w:t>
      </w:r>
    </w:p>
    <w:p w14:paraId="186084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5"/>
        <w:jc w:val="both"/>
        <w:textAlignment w:val="baseline"/>
        <w:rPr>
          <w:rFonts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1000万元-2000万元（含）的按照30%；</w:t>
      </w:r>
    </w:p>
    <w:p w14:paraId="0907E7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5"/>
        <w:jc w:val="both"/>
        <w:textAlignment w:val="baseline"/>
        <w:rPr>
          <w:rFonts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）2000万元-5000万元（含）的按照40%；</w:t>
      </w:r>
    </w:p>
    <w:p w14:paraId="6118969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88" w:lineRule="exact"/>
        <w:ind w:firstLine="68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4"/>
          <w:szCs w:val="3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4"/>
          <w:szCs w:val="34"/>
          <w:highlight w:val="none"/>
          <w14:textFill>
            <w14:solidFill>
              <w14:schemeClr w14:val="tx1"/>
            </w14:solidFill>
          </w14:textFill>
        </w:rPr>
        <w:t>）5000万元以上的按照50%。</w:t>
      </w:r>
    </w:p>
    <w:p w14:paraId="61B6AF6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88" w:lineRule="exact"/>
        <w:ind w:firstLine="683" w:firstLineChars="200"/>
        <w:rPr>
          <w:rFonts w:ascii="仿宋_GB2312" w:hAnsi="仿宋_GB2312" w:eastAsia="仿宋_GB2312" w:cs="仿宋_GB2312"/>
          <w:sz w:val="34"/>
          <w:szCs w:val="34"/>
          <w:highlight w:val="none"/>
        </w:rPr>
      </w:pP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第</w:t>
      </w:r>
      <w:r>
        <w:rPr>
          <w:rFonts w:hint="eastAsia" w:ascii="楷体" w:hAnsi="楷体" w:eastAsia="楷体" w:cs="楷体"/>
          <w:b/>
          <w:sz w:val="34"/>
          <w:szCs w:val="34"/>
          <w:highlight w:val="none"/>
          <w:lang w:val="en-US" w:eastAsia="zh-CN"/>
        </w:rPr>
        <w:t>四</w:t>
      </w: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条 引导金融资源精准赋能。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支持项目利用银行贷款布局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发展，按照最高不超过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LPR（人民银行同期中长期贷款市场报价利率）的50%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给予支持。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期限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年度贴息金额不超过5000万元。不含罚息、复利等非正常利息支出。</w:t>
      </w:r>
    </w:p>
    <w:p w14:paraId="2EA573A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88" w:lineRule="exact"/>
        <w:ind w:firstLine="683" w:firstLineChars="200"/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第</w:t>
      </w:r>
      <w:r>
        <w:rPr>
          <w:rFonts w:hint="eastAsia" w:ascii="楷体" w:hAnsi="楷体" w:eastAsia="楷体" w:cs="楷体"/>
          <w:b/>
          <w:sz w:val="34"/>
          <w:szCs w:val="34"/>
          <w:highlight w:val="none"/>
          <w:lang w:eastAsia="zh-CN"/>
        </w:rPr>
        <w:t>五</w:t>
      </w: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条</w:t>
      </w:r>
      <w:r>
        <w:rPr>
          <w:rFonts w:hint="eastAsia" w:ascii="楷体" w:hAnsi="楷体" w:eastAsia="楷体" w:cs="楷体"/>
          <w:b/>
          <w:sz w:val="34"/>
          <w:szCs w:val="3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34"/>
          <w:szCs w:val="34"/>
          <w:highlight w:val="none"/>
          <w:lang w:eastAsia="zh-CN"/>
        </w:rPr>
        <w:t>鼓励</w:t>
      </w: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项目</w:t>
      </w:r>
      <w:r>
        <w:rPr>
          <w:rFonts w:hint="eastAsia" w:ascii="楷体" w:hAnsi="楷体" w:eastAsia="楷体" w:cs="楷体"/>
          <w:b/>
          <w:sz w:val="34"/>
          <w:szCs w:val="34"/>
          <w:highlight w:val="none"/>
          <w:lang w:eastAsia="zh-CN"/>
        </w:rPr>
        <w:t>争取国家支持</w:t>
      </w:r>
      <w:r>
        <w:rPr>
          <w:rFonts w:hint="eastAsia" w:ascii="楷体" w:hAnsi="楷体" w:eastAsia="楷体" w:cs="楷体"/>
          <w:b/>
          <w:sz w:val="34"/>
          <w:szCs w:val="34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鼓励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先进制造业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落地项目争取各类中央预算内资金支持，对直接获得国家资金支持，符合保税区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</w:rPr>
        <w:t>先进制造业</w:t>
      </w:r>
      <w:r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  <w:t>发展方向的，经评估可给予一定比例配套支持。</w:t>
      </w:r>
    </w:p>
    <w:p w14:paraId="0285EF1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92" w:lineRule="exact"/>
        <w:jc w:val="center"/>
        <w:outlineLvl w:val="1"/>
        <w:rPr>
          <w:rFonts w:hint="eastAsia" w:ascii="楷体" w:hAnsi="楷体" w:eastAsia="楷体" w:cs="楷体"/>
          <w:b/>
          <w:sz w:val="34"/>
          <w:szCs w:val="34"/>
        </w:rPr>
      </w:pPr>
      <w:r>
        <w:rPr>
          <w:rFonts w:hint="eastAsia" w:eastAsia="黑体"/>
          <w:sz w:val="34"/>
          <w:szCs w:val="34"/>
        </w:rPr>
        <w:t>附</w:t>
      </w:r>
      <w:r>
        <w:rPr>
          <w:rFonts w:hint="eastAsia" w:eastAsia="黑体"/>
          <w:sz w:val="34"/>
          <w:szCs w:val="34"/>
          <w:lang w:val="en-US" w:eastAsia="zh-CN"/>
        </w:rPr>
        <w:t xml:space="preserve">  </w:t>
      </w:r>
      <w:r>
        <w:rPr>
          <w:rFonts w:hint="eastAsia" w:eastAsia="黑体"/>
          <w:sz w:val="34"/>
          <w:szCs w:val="34"/>
        </w:rPr>
        <w:t>则</w:t>
      </w:r>
    </w:p>
    <w:p w14:paraId="7555F8B3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92" w:lineRule="exact"/>
        <w:ind w:firstLine="683" w:firstLineChars="200"/>
        <w:jc w:val="both"/>
        <w:rPr>
          <w:rFonts w:ascii="仿宋_GB2312" w:eastAsia="仿宋_GB2312"/>
          <w:sz w:val="34"/>
          <w:szCs w:val="34"/>
        </w:rPr>
      </w:pPr>
      <w:r>
        <w:rPr>
          <w:rFonts w:hint="eastAsia" w:ascii="楷体" w:hAnsi="楷体" w:eastAsia="楷体" w:cs="楷体"/>
          <w:b/>
          <w:sz w:val="34"/>
          <w:szCs w:val="34"/>
        </w:rPr>
        <w:t>第</w:t>
      </w:r>
      <w:r>
        <w:rPr>
          <w:rFonts w:hint="eastAsia" w:ascii="楷体" w:hAnsi="楷体" w:eastAsia="楷体" w:cs="楷体"/>
          <w:b/>
          <w:sz w:val="34"/>
          <w:szCs w:val="34"/>
          <w:lang w:val="en-US" w:eastAsia="zh-CN"/>
        </w:rPr>
        <w:t>六</w:t>
      </w:r>
      <w:r>
        <w:rPr>
          <w:rFonts w:hint="eastAsia" w:ascii="楷体" w:hAnsi="楷体" w:eastAsia="楷体" w:cs="楷体"/>
          <w:b/>
          <w:sz w:val="34"/>
          <w:szCs w:val="34"/>
        </w:rPr>
        <w:t>条 同类扶持就高不重复原则。</w:t>
      </w:r>
      <w:r>
        <w:rPr>
          <w:rFonts w:hint="eastAsia" w:ascii="仿宋_GB2312" w:eastAsia="仿宋_GB2312"/>
          <w:sz w:val="34"/>
          <w:szCs w:val="34"/>
        </w:rPr>
        <w:t>同一主体、同一项目同时符合本政策及保税区其他</w:t>
      </w:r>
      <w:r>
        <w:rPr>
          <w:rFonts w:hint="eastAsia" w:ascii="仿宋_GB2312" w:eastAsia="仿宋_GB2312"/>
          <w:sz w:val="34"/>
          <w:szCs w:val="34"/>
          <w:lang w:val="en-US" w:eastAsia="zh-CN"/>
        </w:rPr>
        <w:t>招商支持</w:t>
      </w:r>
      <w:r>
        <w:rPr>
          <w:rFonts w:hint="eastAsia" w:ascii="仿宋_GB2312" w:eastAsia="仿宋_GB2312"/>
          <w:sz w:val="34"/>
          <w:szCs w:val="34"/>
        </w:rPr>
        <w:t>政策（含上级专项资金配套区级补助）的，按照就高不重复原则择优兑现，不叠加享受多项补贴。</w:t>
      </w:r>
    </w:p>
    <w:p w14:paraId="49F8887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92" w:lineRule="exact"/>
        <w:ind w:firstLine="683" w:firstLineChars="200"/>
        <w:jc w:val="both"/>
        <w:rPr>
          <w:rFonts w:hint="eastAsia" w:ascii="仿宋_GB2312" w:eastAsia="仿宋_GB2312"/>
          <w:sz w:val="34"/>
          <w:szCs w:val="34"/>
          <w:lang w:eastAsia="zh-CN"/>
        </w:rPr>
      </w:pPr>
      <w:r>
        <w:rPr>
          <w:rFonts w:hint="eastAsia" w:ascii="楷体" w:hAnsi="楷体" w:eastAsia="楷体" w:cs="楷体"/>
          <w:b/>
          <w:sz w:val="34"/>
          <w:szCs w:val="34"/>
        </w:rPr>
        <w:t>第</w:t>
      </w:r>
      <w:r>
        <w:rPr>
          <w:rFonts w:hint="eastAsia" w:ascii="楷体" w:hAnsi="楷体" w:eastAsia="楷体" w:cs="楷体"/>
          <w:b/>
          <w:sz w:val="34"/>
          <w:szCs w:val="34"/>
          <w:lang w:val="en-US" w:eastAsia="zh-CN"/>
        </w:rPr>
        <w:t>七</w:t>
      </w:r>
      <w:r>
        <w:rPr>
          <w:rFonts w:hint="eastAsia" w:ascii="楷体" w:hAnsi="楷体" w:eastAsia="楷体" w:cs="楷体"/>
          <w:b/>
          <w:sz w:val="34"/>
          <w:szCs w:val="34"/>
        </w:rPr>
        <w:t>条 法律责任与约束机制。</w:t>
      </w:r>
      <w:r>
        <w:rPr>
          <w:rFonts w:hint="eastAsia" w:ascii="仿宋_GB2312" w:eastAsia="仿宋_GB2312"/>
          <w:sz w:val="34"/>
          <w:szCs w:val="34"/>
          <w:lang w:val="en-US" w:eastAsia="zh-CN"/>
        </w:rPr>
        <w:t>新入驻项目</w:t>
      </w:r>
      <w:r>
        <w:rPr>
          <w:rFonts w:hint="eastAsia" w:ascii="仿宋_GB2312" w:eastAsia="仿宋_GB2312"/>
          <w:sz w:val="34"/>
          <w:szCs w:val="34"/>
        </w:rPr>
        <w:t>通过虚假申报、材料造假、隐瞒信息等方式骗取</w:t>
      </w:r>
      <w:r>
        <w:rPr>
          <w:rFonts w:hint="eastAsia" w:ascii="仿宋_GB2312" w:eastAsia="仿宋_GB2312"/>
          <w:sz w:val="34"/>
          <w:szCs w:val="34"/>
          <w:lang w:val="en-US" w:eastAsia="zh-CN"/>
        </w:rPr>
        <w:t>支持</w:t>
      </w:r>
      <w:r>
        <w:rPr>
          <w:rFonts w:hint="eastAsia" w:ascii="仿宋_GB2312" w:eastAsia="仿宋_GB2312"/>
          <w:sz w:val="34"/>
          <w:szCs w:val="34"/>
        </w:rPr>
        <w:t>资金的，须全额退回已拨付资金，并依法追究相关法律责任</w:t>
      </w:r>
      <w:r>
        <w:rPr>
          <w:rFonts w:hint="eastAsia" w:ascii="仿宋_GB2312" w:eastAsia="仿宋_GB2312"/>
          <w:sz w:val="34"/>
          <w:szCs w:val="34"/>
          <w:lang w:eastAsia="zh-CN"/>
        </w:rPr>
        <w:t>。</w:t>
      </w:r>
    </w:p>
    <w:p w14:paraId="7E9D147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92" w:lineRule="exact"/>
        <w:ind w:firstLine="680" w:firstLineChars="200"/>
        <w:jc w:val="both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政策有效期内，企业发生重大安全生产事故、重大生态环境违法、重大失信、引发重大社会稳定事件的，视情节暂缓拨付、取消全部扶持资格。</w:t>
      </w:r>
    </w:p>
    <w:p w14:paraId="2261E715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adjustRightInd w:val="0"/>
        <w:snapToGrid w:val="0"/>
        <w:spacing w:line="592" w:lineRule="exact"/>
        <w:ind w:firstLine="683" w:firstLineChars="200"/>
        <w:jc w:val="both"/>
        <w:rPr>
          <w:rFonts w:hint="eastAsia" w:ascii="仿宋_GB2312" w:eastAsia="仿宋_GB2312"/>
          <w:sz w:val="34"/>
          <w:szCs w:val="34"/>
          <w:highlight w:val="none"/>
        </w:rPr>
      </w:pPr>
      <w:r>
        <w:rPr>
          <w:rFonts w:hint="eastAsia" w:ascii="楷体" w:hAnsi="楷体" w:eastAsia="楷体" w:cs="楷体"/>
          <w:b/>
          <w:sz w:val="34"/>
          <w:szCs w:val="34"/>
          <w:lang w:val="en-US" w:eastAsia="zh-CN"/>
        </w:rPr>
        <w:t xml:space="preserve">第八条 </w:t>
      </w:r>
      <w:r>
        <w:rPr>
          <w:rFonts w:hint="eastAsia" w:ascii="楷体" w:hAnsi="楷体" w:eastAsia="楷体" w:cs="楷体"/>
          <w:b/>
          <w:sz w:val="34"/>
          <w:szCs w:val="34"/>
        </w:rPr>
        <w:t>政策解释与实施期限。</w:t>
      </w:r>
      <w:r>
        <w:rPr>
          <w:rFonts w:hint="eastAsia" w:ascii="仿宋_GB2312" w:eastAsia="仿宋_GB2312"/>
          <w:sz w:val="34"/>
          <w:szCs w:val="34"/>
        </w:rPr>
        <w:t>本政策措施由天津港保税区管理委员会负责解</w:t>
      </w:r>
      <w:r>
        <w:rPr>
          <w:rFonts w:hint="eastAsia" w:ascii="仿宋_GB2312" w:eastAsia="仿宋_GB2312"/>
          <w:sz w:val="34"/>
          <w:szCs w:val="34"/>
          <w:highlight w:val="none"/>
        </w:rPr>
        <w:t>释，投资促进局</w:t>
      </w:r>
      <w:r>
        <w:rPr>
          <w:rFonts w:hint="eastAsia" w:ascii="仿宋_GB2312" w:eastAsia="仿宋_GB2312"/>
          <w:sz w:val="34"/>
          <w:szCs w:val="34"/>
          <w:highlight w:val="none"/>
          <w:lang w:val="en-US" w:eastAsia="zh-CN"/>
        </w:rPr>
        <w:t>和先进制造业局</w:t>
      </w:r>
      <w:r>
        <w:rPr>
          <w:rFonts w:hint="eastAsia" w:ascii="仿宋_GB2312" w:eastAsia="仿宋_GB2312"/>
          <w:sz w:val="34"/>
          <w:szCs w:val="34"/>
          <w:highlight w:val="none"/>
        </w:rPr>
        <w:t>承担日常具体解释工作。</w:t>
      </w:r>
    </w:p>
    <w:p w14:paraId="04208B8A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88" w:lineRule="exact"/>
        <w:ind w:firstLine="680" w:firstLineChars="200"/>
        <w:rPr>
          <w:rFonts w:hint="eastAsia" w:ascii="仿宋_GB2312" w:hAnsi="仿宋_GB2312" w:eastAsia="仿宋_GB2312" w:cs="仿宋_GB2312"/>
          <w:sz w:val="34"/>
          <w:szCs w:val="34"/>
          <w:highlight w:val="none"/>
          <w:lang w:eastAsia="zh-CN"/>
        </w:rPr>
      </w:pPr>
      <w:r>
        <w:rPr>
          <w:rFonts w:hint="eastAsia" w:ascii="仿宋_GB2312" w:eastAsia="仿宋_GB2312"/>
          <w:sz w:val="34"/>
          <w:szCs w:val="34"/>
          <w:highlight w:val="none"/>
        </w:rPr>
        <w:t>本政策自发布之日起施行，有效期至2030年12月31日。</w:t>
      </w:r>
      <w:r>
        <w:rPr>
          <w:rFonts w:hint="eastAsia" w:ascii="仿宋_GB2312" w:eastAsia="仿宋_GB2312"/>
          <w:sz w:val="34"/>
          <w:szCs w:val="34"/>
          <w:highlight w:val="none"/>
          <w:lang w:val="en-US" w:eastAsia="zh-CN"/>
        </w:rPr>
        <w:t>本政策有效期间内，如遇法律法规或有关政策调整变化，从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BB8F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046A7"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8046A7"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4CB3D4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D9"/>
    <w:rsid w:val="00056D74"/>
    <w:rsid w:val="000A2936"/>
    <w:rsid w:val="000B2F97"/>
    <w:rsid w:val="000C19CC"/>
    <w:rsid w:val="000D5FC9"/>
    <w:rsid w:val="00126B04"/>
    <w:rsid w:val="001E344F"/>
    <w:rsid w:val="0023092C"/>
    <w:rsid w:val="0029394D"/>
    <w:rsid w:val="002C03EB"/>
    <w:rsid w:val="002C75A0"/>
    <w:rsid w:val="002E102F"/>
    <w:rsid w:val="002F57BA"/>
    <w:rsid w:val="00317CBC"/>
    <w:rsid w:val="003752C8"/>
    <w:rsid w:val="00380140"/>
    <w:rsid w:val="00425F46"/>
    <w:rsid w:val="00445295"/>
    <w:rsid w:val="004715A5"/>
    <w:rsid w:val="00472AA3"/>
    <w:rsid w:val="00565347"/>
    <w:rsid w:val="006A2BFD"/>
    <w:rsid w:val="006B6D1F"/>
    <w:rsid w:val="007D2A31"/>
    <w:rsid w:val="007F4F21"/>
    <w:rsid w:val="00837772"/>
    <w:rsid w:val="008A02F1"/>
    <w:rsid w:val="008E1C7B"/>
    <w:rsid w:val="00901521"/>
    <w:rsid w:val="009043FB"/>
    <w:rsid w:val="00A43EC4"/>
    <w:rsid w:val="00A70F07"/>
    <w:rsid w:val="00A9129B"/>
    <w:rsid w:val="00AE30B0"/>
    <w:rsid w:val="00AE7A7C"/>
    <w:rsid w:val="00BE15FE"/>
    <w:rsid w:val="00C32CD9"/>
    <w:rsid w:val="00C552AC"/>
    <w:rsid w:val="00D03CCD"/>
    <w:rsid w:val="00D10E5D"/>
    <w:rsid w:val="00D57CFA"/>
    <w:rsid w:val="00D9012D"/>
    <w:rsid w:val="00D97AD8"/>
    <w:rsid w:val="00DF40E2"/>
    <w:rsid w:val="00DF4393"/>
    <w:rsid w:val="00E604DB"/>
    <w:rsid w:val="00E96D40"/>
    <w:rsid w:val="00EE162D"/>
    <w:rsid w:val="00F02B4B"/>
    <w:rsid w:val="00F27EFF"/>
    <w:rsid w:val="00F508FD"/>
    <w:rsid w:val="00F9060D"/>
    <w:rsid w:val="00FA1C7A"/>
    <w:rsid w:val="01260E98"/>
    <w:rsid w:val="012850A9"/>
    <w:rsid w:val="01352E88"/>
    <w:rsid w:val="01731069"/>
    <w:rsid w:val="01826A17"/>
    <w:rsid w:val="01EF572E"/>
    <w:rsid w:val="01FA184C"/>
    <w:rsid w:val="02007ABC"/>
    <w:rsid w:val="0284056C"/>
    <w:rsid w:val="03083A13"/>
    <w:rsid w:val="030A5EB4"/>
    <w:rsid w:val="030F10B7"/>
    <w:rsid w:val="035D6DC5"/>
    <w:rsid w:val="036F2FCB"/>
    <w:rsid w:val="038671C9"/>
    <w:rsid w:val="03B46C2F"/>
    <w:rsid w:val="03F6265D"/>
    <w:rsid w:val="03FD5310"/>
    <w:rsid w:val="04021749"/>
    <w:rsid w:val="0431202E"/>
    <w:rsid w:val="04461F7D"/>
    <w:rsid w:val="045D2E23"/>
    <w:rsid w:val="04A96068"/>
    <w:rsid w:val="04B65C5C"/>
    <w:rsid w:val="04C2712A"/>
    <w:rsid w:val="04DA4474"/>
    <w:rsid w:val="050339CA"/>
    <w:rsid w:val="050444D9"/>
    <w:rsid w:val="057448C8"/>
    <w:rsid w:val="057F4B07"/>
    <w:rsid w:val="05D15877"/>
    <w:rsid w:val="060A6FDB"/>
    <w:rsid w:val="063E0A32"/>
    <w:rsid w:val="064A73D7"/>
    <w:rsid w:val="064E6EC7"/>
    <w:rsid w:val="06693D01"/>
    <w:rsid w:val="067B1C86"/>
    <w:rsid w:val="06BF5C79"/>
    <w:rsid w:val="06D518C6"/>
    <w:rsid w:val="06D836A7"/>
    <w:rsid w:val="06EF3008"/>
    <w:rsid w:val="06FC3327"/>
    <w:rsid w:val="07070EA5"/>
    <w:rsid w:val="07352BCC"/>
    <w:rsid w:val="074402CA"/>
    <w:rsid w:val="074D717F"/>
    <w:rsid w:val="07CC7565"/>
    <w:rsid w:val="07D94EB6"/>
    <w:rsid w:val="08144141"/>
    <w:rsid w:val="08147C9D"/>
    <w:rsid w:val="082C3238"/>
    <w:rsid w:val="085409E1"/>
    <w:rsid w:val="08887CBD"/>
    <w:rsid w:val="08996640"/>
    <w:rsid w:val="08C276F9"/>
    <w:rsid w:val="08E12275"/>
    <w:rsid w:val="09121B08"/>
    <w:rsid w:val="095F6B9C"/>
    <w:rsid w:val="09646979"/>
    <w:rsid w:val="09AB4631"/>
    <w:rsid w:val="09E0252C"/>
    <w:rsid w:val="0A0124A3"/>
    <w:rsid w:val="0A110938"/>
    <w:rsid w:val="0A2D14EA"/>
    <w:rsid w:val="0A3B59B5"/>
    <w:rsid w:val="0A454A85"/>
    <w:rsid w:val="0A546A76"/>
    <w:rsid w:val="0A876E4C"/>
    <w:rsid w:val="0B1A7C2B"/>
    <w:rsid w:val="0B307789"/>
    <w:rsid w:val="0B6B49E4"/>
    <w:rsid w:val="0B6E3B68"/>
    <w:rsid w:val="0B8213C1"/>
    <w:rsid w:val="0BD53BE7"/>
    <w:rsid w:val="0C2D57D1"/>
    <w:rsid w:val="0C3B3811"/>
    <w:rsid w:val="0C587DD6"/>
    <w:rsid w:val="0C5965C6"/>
    <w:rsid w:val="0C841027"/>
    <w:rsid w:val="0CA773D5"/>
    <w:rsid w:val="0CAF4438"/>
    <w:rsid w:val="0CDC13A0"/>
    <w:rsid w:val="0D136FEC"/>
    <w:rsid w:val="0D230EFA"/>
    <w:rsid w:val="0D397A5A"/>
    <w:rsid w:val="0D6D7B31"/>
    <w:rsid w:val="0DBE45AF"/>
    <w:rsid w:val="0DC126EF"/>
    <w:rsid w:val="0DCF5F7A"/>
    <w:rsid w:val="0DE87895"/>
    <w:rsid w:val="0DF42EF1"/>
    <w:rsid w:val="0E1844BF"/>
    <w:rsid w:val="0E4560CC"/>
    <w:rsid w:val="0E5C414B"/>
    <w:rsid w:val="0E63197E"/>
    <w:rsid w:val="0E665FA8"/>
    <w:rsid w:val="0E670FC5"/>
    <w:rsid w:val="0E807E3A"/>
    <w:rsid w:val="0E87566C"/>
    <w:rsid w:val="0EB43609"/>
    <w:rsid w:val="0EBB7106"/>
    <w:rsid w:val="0EDD528C"/>
    <w:rsid w:val="0EF16F8A"/>
    <w:rsid w:val="0F3155D8"/>
    <w:rsid w:val="0F5F2145"/>
    <w:rsid w:val="0F9242C9"/>
    <w:rsid w:val="0F9F0794"/>
    <w:rsid w:val="0FAB7138"/>
    <w:rsid w:val="0FD961A1"/>
    <w:rsid w:val="0FF453F4"/>
    <w:rsid w:val="100F5C6C"/>
    <w:rsid w:val="10274C2E"/>
    <w:rsid w:val="109827AF"/>
    <w:rsid w:val="10B84B6F"/>
    <w:rsid w:val="10C304B2"/>
    <w:rsid w:val="10D00B9B"/>
    <w:rsid w:val="10DE52EC"/>
    <w:rsid w:val="111B02EE"/>
    <w:rsid w:val="11360C84"/>
    <w:rsid w:val="11390774"/>
    <w:rsid w:val="113B0990"/>
    <w:rsid w:val="114A0BD3"/>
    <w:rsid w:val="115E01DA"/>
    <w:rsid w:val="11CB3AC2"/>
    <w:rsid w:val="121A05A5"/>
    <w:rsid w:val="122053A3"/>
    <w:rsid w:val="1243676B"/>
    <w:rsid w:val="12483364"/>
    <w:rsid w:val="125F15AA"/>
    <w:rsid w:val="12681311"/>
    <w:rsid w:val="12C920EA"/>
    <w:rsid w:val="12ED1816"/>
    <w:rsid w:val="13897791"/>
    <w:rsid w:val="13F37300"/>
    <w:rsid w:val="13F46ECF"/>
    <w:rsid w:val="14200447"/>
    <w:rsid w:val="1449120C"/>
    <w:rsid w:val="144F7963"/>
    <w:rsid w:val="145C4EA5"/>
    <w:rsid w:val="146124BC"/>
    <w:rsid w:val="146D70B2"/>
    <w:rsid w:val="14D013EF"/>
    <w:rsid w:val="14DE1D5E"/>
    <w:rsid w:val="14E153AA"/>
    <w:rsid w:val="151E215B"/>
    <w:rsid w:val="15267261"/>
    <w:rsid w:val="152F4368"/>
    <w:rsid w:val="15393438"/>
    <w:rsid w:val="158673D5"/>
    <w:rsid w:val="15A06B24"/>
    <w:rsid w:val="15BF734A"/>
    <w:rsid w:val="15C5035C"/>
    <w:rsid w:val="15D849FF"/>
    <w:rsid w:val="16027CCE"/>
    <w:rsid w:val="16225C7A"/>
    <w:rsid w:val="16361726"/>
    <w:rsid w:val="164164B5"/>
    <w:rsid w:val="167A1613"/>
    <w:rsid w:val="167F4CEB"/>
    <w:rsid w:val="16A051A2"/>
    <w:rsid w:val="16B03286"/>
    <w:rsid w:val="16B20DAC"/>
    <w:rsid w:val="16B32408"/>
    <w:rsid w:val="16DC6904"/>
    <w:rsid w:val="170D2F48"/>
    <w:rsid w:val="1726179A"/>
    <w:rsid w:val="17757E00"/>
    <w:rsid w:val="17767B0E"/>
    <w:rsid w:val="17930DF4"/>
    <w:rsid w:val="17984446"/>
    <w:rsid w:val="17B32CCD"/>
    <w:rsid w:val="17B84AE8"/>
    <w:rsid w:val="17D00627"/>
    <w:rsid w:val="180715CC"/>
    <w:rsid w:val="1825166D"/>
    <w:rsid w:val="183D0B4A"/>
    <w:rsid w:val="18534811"/>
    <w:rsid w:val="18812024"/>
    <w:rsid w:val="18857487"/>
    <w:rsid w:val="189E3CDE"/>
    <w:rsid w:val="189E74FF"/>
    <w:rsid w:val="18A2130E"/>
    <w:rsid w:val="18BF5A03"/>
    <w:rsid w:val="194A79C2"/>
    <w:rsid w:val="19BE3F0C"/>
    <w:rsid w:val="19C534ED"/>
    <w:rsid w:val="19E107FC"/>
    <w:rsid w:val="19EA61C9"/>
    <w:rsid w:val="1A073B05"/>
    <w:rsid w:val="1A0F29BA"/>
    <w:rsid w:val="1A366CF1"/>
    <w:rsid w:val="1A550139"/>
    <w:rsid w:val="1A930EF5"/>
    <w:rsid w:val="1AB5530F"/>
    <w:rsid w:val="1AD055C7"/>
    <w:rsid w:val="1AD53A66"/>
    <w:rsid w:val="1B6B4D04"/>
    <w:rsid w:val="1B780493"/>
    <w:rsid w:val="1B9E3FF5"/>
    <w:rsid w:val="1BAA299A"/>
    <w:rsid w:val="1BB47375"/>
    <w:rsid w:val="1BD712B5"/>
    <w:rsid w:val="1BDA110C"/>
    <w:rsid w:val="1C2A3ADB"/>
    <w:rsid w:val="1C44694B"/>
    <w:rsid w:val="1C917712"/>
    <w:rsid w:val="1C9E3BBC"/>
    <w:rsid w:val="1CA473E9"/>
    <w:rsid w:val="1CC96E50"/>
    <w:rsid w:val="1CF245F9"/>
    <w:rsid w:val="1D1B1F70"/>
    <w:rsid w:val="1D383FD6"/>
    <w:rsid w:val="1D3F16EF"/>
    <w:rsid w:val="1D70376F"/>
    <w:rsid w:val="1D757205"/>
    <w:rsid w:val="1D816F16"/>
    <w:rsid w:val="1D9A07EC"/>
    <w:rsid w:val="1DC11BA0"/>
    <w:rsid w:val="1DF75C3F"/>
    <w:rsid w:val="1E0068A1"/>
    <w:rsid w:val="1E480248"/>
    <w:rsid w:val="1E4F2D05"/>
    <w:rsid w:val="1E86208D"/>
    <w:rsid w:val="1F4B71D4"/>
    <w:rsid w:val="1F5D7D23"/>
    <w:rsid w:val="1F613647"/>
    <w:rsid w:val="1F63358C"/>
    <w:rsid w:val="1F810563"/>
    <w:rsid w:val="1FB02549"/>
    <w:rsid w:val="1FBB6470"/>
    <w:rsid w:val="1FBC54D7"/>
    <w:rsid w:val="1FC009DE"/>
    <w:rsid w:val="1FF8627B"/>
    <w:rsid w:val="20592BE1"/>
    <w:rsid w:val="20745325"/>
    <w:rsid w:val="20B7775D"/>
    <w:rsid w:val="20B81A8C"/>
    <w:rsid w:val="20C067BC"/>
    <w:rsid w:val="20C444FE"/>
    <w:rsid w:val="20E976FD"/>
    <w:rsid w:val="20F46181"/>
    <w:rsid w:val="21210B14"/>
    <w:rsid w:val="21591002"/>
    <w:rsid w:val="21674E89"/>
    <w:rsid w:val="219F0AC7"/>
    <w:rsid w:val="21BA145D"/>
    <w:rsid w:val="2210107D"/>
    <w:rsid w:val="222A0391"/>
    <w:rsid w:val="2264526E"/>
    <w:rsid w:val="228666E5"/>
    <w:rsid w:val="22894407"/>
    <w:rsid w:val="22970268"/>
    <w:rsid w:val="22A5210D"/>
    <w:rsid w:val="22A7378F"/>
    <w:rsid w:val="22C73E32"/>
    <w:rsid w:val="22E04C73"/>
    <w:rsid w:val="23586A16"/>
    <w:rsid w:val="2386535F"/>
    <w:rsid w:val="239C7888"/>
    <w:rsid w:val="23AD74CB"/>
    <w:rsid w:val="23CD5B55"/>
    <w:rsid w:val="241A4435"/>
    <w:rsid w:val="245517DF"/>
    <w:rsid w:val="246856A3"/>
    <w:rsid w:val="248E31CC"/>
    <w:rsid w:val="24917051"/>
    <w:rsid w:val="249B16D2"/>
    <w:rsid w:val="249B5576"/>
    <w:rsid w:val="24A94248"/>
    <w:rsid w:val="24B16B47"/>
    <w:rsid w:val="250E5D48"/>
    <w:rsid w:val="254F010E"/>
    <w:rsid w:val="25987D07"/>
    <w:rsid w:val="25B763DF"/>
    <w:rsid w:val="25C02D10"/>
    <w:rsid w:val="25C32FD6"/>
    <w:rsid w:val="25D82B4F"/>
    <w:rsid w:val="260158AC"/>
    <w:rsid w:val="262E04D9"/>
    <w:rsid w:val="26532CA0"/>
    <w:rsid w:val="26595900"/>
    <w:rsid w:val="267B565F"/>
    <w:rsid w:val="26886951"/>
    <w:rsid w:val="26997B5D"/>
    <w:rsid w:val="26B172D2"/>
    <w:rsid w:val="27037402"/>
    <w:rsid w:val="2739373B"/>
    <w:rsid w:val="275579B7"/>
    <w:rsid w:val="279938C3"/>
    <w:rsid w:val="27CA7ED1"/>
    <w:rsid w:val="28021572"/>
    <w:rsid w:val="28242E05"/>
    <w:rsid w:val="284E28FF"/>
    <w:rsid w:val="285314AE"/>
    <w:rsid w:val="286F4F4F"/>
    <w:rsid w:val="288D3427"/>
    <w:rsid w:val="289C18BC"/>
    <w:rsid w:val="28A8200F"/>
    <w:rsid w:val="28C013B8"/>
    <w:rsid w:val="29086F52"/>
    <w:rsid w:val="29381FC3"/>
    <w:rsid w:val="294837F2"/>
    <w:rsid w:val="295B3290"/>
    <w:rsid w:val="296323DA"/>
    <w:rsid w:val="296A5517"/>
    <w:rsid w:val="296D0649"/>
    <w:rsid w:val="29712D49"/>
    <w:rsid w:val="2981671A"/>
    <w:rsid w:val="29935EC6"/>
    <w:rsid w:val="29AB625B"/>
    <w:rsid w:val="2A2B593B"/>
    <w:rsid w:val="2AB70C30"/>
    <w:rsid w:val="2AB729DE"/>
    <w:rsid w:val="2AE15CAC"/>
    <w:rsid w:val="2AFA0B1C"/>
    <w:rsid w:val="2B34402E"/>
    <w:rsid w:val="2B6E050F"/>
    <w:rsid w:val="2BD57E8E"/>
    <w:rsid w:val="2BEB6DE3"/>
    <w:rsid w:val="2BED77E9"/>
    <w:rsid w:val="2CA3146B"/>
    <w:rsid w:val="2CBC252D"/>
    <w:rsid w:val="2CD63BB6"/>
    <w:rsid w:val="2CF548B9"/>
    <w:rsid w:val="2D404F0C"/>
    <w:rsid w:val="2D530266"/>
    <w:rsid w:val="2D5737A4"/>
    <w:rsid w:val="2D6C5D01"/>
    <w:rsid w:val="2D6D1BF5"/>
    <w:rsid w:val="2D73434D"/>
    <w:rsid w:val="2D741704"/>
    <w:rsid w:val="2DC21DC5"/>
    <w:rsid w:val="2E0A72C8"/>
    <w:rsid w:val="2EB15996"/>
    <w:rsid w:val="2EE47B19"/>
    <w:rsid w:val="2F171C9D"/>
    <w:rsid w:val="2F31572F"/>
    <w:rsid w:val="2F6403BA"/>
    <w:rsid w:val="2F9D2D4E"/>
    <w:rsid w:val="2FA84FEB"/>
    <w:rsid w:val="2FE06533"/>
    <w:rsid w:val="2FE619CC"/>
    <w:rsid w:val="2FFA6F49"/>
    <w:rsid w:val="300A7A53"/>
    <w:rsid w:val="30222A1F"/>
    <w:rsid w:val="308E5F8F"/>
    <w:rsid w:val="309317F7"/>
    <w:rsid w:val="30B17D5C"/>
    <w:rsid w:val="30B654E5"/>
    <w:rsid w:val="30B86334"/>
    <w:rsid w:val="30CE0A81"/>
    <w:rsid w:val="31903F88"/>
    <w:rsid w:val="31943695"/>
    <w:rsid w:val="31C85DFF"/>
    <w:rsid w:val="31E3230A"/>
    <w:rsid w:val="31E87920"/>
    <w:rsid w:val="31EA18EB"/>
    <w:rsid w:val="321C0023"/>
    <w:rsid w:val="323963CE"/>
    <w:rsid w:val="328A0F6B"/>
    <w:rsid w:val="32935ADE"/>
    <w:rsid w:val="32F04CDF"/>
    <w:rsid w:val="33527B27"/>
    <w:rsid w:val="33B0446E"/>
    <w:rsid w:val="33B52FB3"/>
    <w:rsid w:val="33D91C17"/>
    <w:rsid w:val="341E17ED"/>
    <w:rsid w:val="34684D49"/>
    <w:rsid w:val="34880F47"/>
    <w:rsid w:val="34D9107F"/>
    <w:rsid w:val="35086259"/>
    <w:rsid w:val="353745A8"/>
    <w:rsid w:val="354A3A6D"/>
    <w:rsid w:val="35505F08"/>
    <w:rsid w:val="35777892"/>
    <w:rsid w:val="35804720"/>
    <w:rsid w:val="3585406B"/>
    <w:rsid w:val="35D00DF7"/>
    <w:rsid w:val="35D07BC9"/>
    <w:rsid w:val="35DB7EC8"/>
    <w:rsid w:val="35F20D31"/>
    <w:rsid w:val="35FE5964"/>
    <w:rsid w:val="36017203"/>
    <w:rsid w:val="364D2483"/>
    <w:rsid w:val="369E361B"/>
    <w:rsid w:val="36E42DAC"/>
    <w:rsid w:val="371C0798"/>
    <w:rsid w:val="374455F9"/>
    <w:rsid w:val="37C640CA"/>
    <w:rsid w:val="37D83F93"/>
    <w:rsid w:val="38170F5F"/>
    <w:rsid w:val="383331BF"/>
    <w:rsid w:val="38473E73"/>
    <w:rsid w:val="38AC16A8"/>
    <w:rsid w:val="392A52C7"/>
    <w:rsid w:val="39B239D6"/>
    <w:rsid w:val="39B32F0A"/>
    <w:rsid w:val="39B75184"/>
    <w:rsid w:val="39CB0253"/>
    <w:rsid w:val="39CD7B28"/>
    <w:rsid w:val="3A6F6E31"/>
    <w:rsid w:val="3AC151ED"/>
    <w:rsid w:val="3B2C722A"/>
    <w:rsid w:val="3B39619E"/>
    <w:rsid w:val="3B3A743F"/>
    <w:rsid w:val="3B3B4F65"/>
    <w:rsid w:val="3B451940"/>
    <w:rsid w:val="3B4A33FA"/>
    <w:rsid w:val="3B5D312D"/>
    <w:rsid w:val="3B8B7C9A"/>
    <w:rsid w:val="3BDD426E"/>
    <w:rsid w:val="3BE1036C"/>
    <w:rsid w:val="3BE6258E"/>
    <w:rsid w:val="3C1D7578"/>
    <w:rsid w:val="3C3C71E7"/>
    <w:rsid w:val="3C546C7E"/>
    <w:rsid w:val="3C8B5A78"/>
    <w:rsid w:val="3D097E3E"/>
    <w:rsid w:val="3D1B6DFC"/>
    <w:rsid w:val="3D1D2B74"/>
    <w:rsid w:val="3D532A3A"/>
    <w:rsid w:val="3D5B369C"/>
    <w:rsid w:val="3D7D7B7B"/>
    <w:rsid w:val="3D934BE4"/>
    <w:rsid w:val="3DD05E38"/>
    <w:rsid w:val="3DF06109"/>
    <w:rsid w:val="3E1479EE"/>
    <w:rsid w:val="3E241CE0"/>
    <w:rsid w:val="3E255F25"/>
    <w:rsid w:val="3E444130"/>
    <w:rsid w:val="3E51492E"/>
    <w:rsid w:val="3E6F175D"/>
    <w:rsid w:val="3EAB2402"/>
    <w:rsid w:val="3ED72B21"/>
    <w:rsid w:val="3F057D64"/>
    <w:rsid w:val="3F060465"/>
    <w:rsid w:val="3F060A5B"/>
    <w:rsid w:val="3F240783"/>
    <w:rsid w:val="3F2A1578"/>
    <w:rsid w:val="3F3E5024"/>
    <w:rsid w:val="3F3E6DD2"/>
    <w:rsid w:val="3F3F3186"/>
    <w:rsid w:val="3F6F04FC"/>
    <w:rsid w:val="3F780536"/>
    <w:rsid w:val="3FA72BC9"/>
    <w:rsid w:val="3FE45BCB"/>
    <w:rsid w:val="3FEF5955"/>
    <w:rsid w:val="3FF12096"/>
    <w:rsid w:val="4009218C"/>
    <w:rsid w:val="400C6ED0"/>
    <w:rsid w:val="401F137E"/>
    <w:rsid w:val="40512B4C"/>
    <w:rsid w:val="406175E4"/>
    <w:rsid w:val="408337AE"/>
    <w:rsid w:val="409A44DC"/>
    <w:rsid w:val="40DD55F9"/>
    <w:rsid w:val="40E16738"/>
    <w:rsid w:val="40ED0AAF"/>
    <w:rsid w:val="40F2256A"/>
    <w:rsid w:val="41067DC3"/>
    <w:rsid w:val="410D2F00"/>
    <w:rsid w:val="41426205"/>
    <w:rsid w:val="414F09CB"/>
    <w:rsid w:val="414F47B3"/>
    <w:rsid w:val="416A64CB"/>
    <w:rsid w:val="41782A6F"/>
    <w:rsid w:val="4186080A"/>
    <w:rsid w:val="41943621"/>
    <w:rsid w:val="41A31629"/>
    <w:rsid w:val="41AA4BF2"/>
    <w:rsid w:val="420F185B"/>
    <w:rsid w:val="4226112B"/>
    <w:rsid w:val="42334BE8"/>
    <w:rsid w:val="425067CD"/>
    <w:rsid w:val="428216CB"/>
    <w:rsid w:val="428F0ACE"/>
    <w:rsid w:val="42B43A0E"/>
    <w:rsid w:val="42B912F6"/>
    <w:rsid w:val="43106CD7"/>
    <w:rsid w:val="43250AEC"/>
    <w:rsid w:val="43326C4D"/>
    <w:rsid w:val="433439B3"/>
    <w:rsid w:val="43356819"/>
    <w:rsid w:val="43572B58"/>
    <w:rsid w:val="435B61A4"/>
    <w:rsid w:val="43794C2E"/>
    <w:rsid w:val="439E2535"/>
    <w:rsid w:val="43BF2BD7"/>
    <w:rsid w:val="43CF26EE"/>
    <w:rsid w:val="4413082D"/>
    <w:rsid w:val="442B201A"/>
    <w:rsid w:val="44466E54"/>
    <w:rsid w:val="44600F13"/>
    <w:rsid w:val="4470139D"/>
    <w:rsid w:val="448636F5"/>
    <w:rsid w:val="44C11165"/>
    <w:rsid w:val="44DA57EF"/>
    <w:rsid w:val="44FD5E44"/>
    <w:rsid w:val="44FF7003"/>
    <w:rsid w:val="452F5B3A"/>
    <w:rsid w:val="45367494"/>
    <w:rsid w:val="453C0257"/>
    <w:rsid w:val="45435142"/>
    <w:rsid w:val="454669E0"/>
    <w:rsid w:val="456A6B72"/>
    <w:rsid w:val="45B46040"/>
    <w:rsid w:val="45C931B9"/>
    <w:rsid w:val="45E22BAD"/>
    <w:rsid w:val="462A6302"/>
    <w:rsid w:val="463A4797"/>
    <w:rsid w:val="46A14816"/>
    <w:rsid w:val="46BD7176"/>
    <w:rsid w:val="475353E4"/>
    <w:rsid w:val="475C698F"/>
    <w:rsid w:val="47680521"/>
    <w:rsid w:val="47775577"/>
    <w:rsid w:val="47794AA5"/>
    <w:rsid w:val="4780570A"/>
    <w:rsid w:val="479C4FDD"/>
    <w:rsid w:val="47A81BD4"/>
    <w:rsid w:val="47C6205A"/>
    <w:rsid w:val="47CA1B4A"/>
    <w:rsid w:val="47D76015"/>
    <w:rsid w:val="47F57AAC"/>
    <w:rsid w:val="480C5CBF"/>
    <w:rsid w:val="48414DF7"/>
    <w:rsid w:val="484A2C8B"/>
    <w:rsid w:val="48517B76"/>
    <w:rsid w:val="485258B7"/>
    <w:rsid w:val="487D6BBD"/>
    <w:rsid w:val="488570E6"/>
    <w:rsid w:val="48BA396D"/>
    <w:rsid w:val="4921579A"/>
    <w:rsid w:val="493F0316"/>
    <w:rsid w:val="494E2307"/>
    <w:rsid w:val="497C0DC1"/>
    <w:rsid w:val="499A379E"/>
    <w:rsid w:val="49A5461D"/>
    <w:rsid w:val="49B265F0"/>
    <w:rsid w:val="49C66341"/>
    <w:rsid w:val="49FA4868"/>
    <w:rsid w:val="4A01737A"/>
    <w:rsid w:val="4A181912"/>
    <w:rsid w:val="4A993A56"/>
    <w:rsid w:val="4A9A085A"/>
    <w:rsid w:val="4B0235C9"/>
    <w:rsid w:val="4B032EF2"/>
    <w:rsid w:val="4B125CE2"/>
    <w:rsid w:val="4B2B6DA4"/>
    <w:rsid w:val="4B614574"/>
    <w:rsid w:val="4B700C5B"/>
    <w:rsid w:val="4B970F5E"/>
    <w:rsid w:val="4BEA27BB"/>
    <w:rsid w:val="4C077ED5"/>
    <w:rsid w:val="4C7F4807"/>
    <w:rsid w:val="4C8E6525"/>
    <w:rsid w:val="4CA46E0E"/>
    <w:rsid w:val="4CB136A7"/>
    <w:rsid w:val="4CEC3AD4"/>
    <w:rsid w:val="4D235A67"/>
    <w:rsid w:val="4D7F6F33"/>
    <w:rsid w:val="4D816484"/>
    <w:rsid w:val="4DEC5415"/>
    <w:rsid w:val="4E0631B0"/>
    <w:rsid w:val="4E241729"/>
    <w:rsid w:val="4E303937"/>
    <w:rsid w:val="4E8011B5"/>
    <w:rsid w:val="4E8A45CC"/>
    <w:rsid w:val="4EA74993"/>
    <w:rsid w:val="4EB97A3D"/>
    <w:rsid w:val="4ED92533"/>
    <w:rsid w:val="4F196F13"/>
    <w:rsid w:val="4F6E725F"/>
    <w:rsid w:val="4F710AFD"/>
    <w:rsid w:val="4F813436"/>
    <w:rsid w:val="4FC7696F"/>
    <w:rsid w:val="50373B69"/>
    <w:rsid w:val="50506965"/>
    <w:rsid w:val="506059D9"/>
    <w:rsid w:val="507D169F"/>
    <w:rsid w:val="50E530A6"/>
    <w:rsid w:val="514C537E"/>
    <w:rsid w:val="518014CC"/>
    <w:rsid w:val="51D9004F"/>
    <w:rsid w:val="51E83CDC"/>
    <w:rsid w:val="51F37EF0"/>
    <w:rsid w:val="52016097"/>
    <w:rsid w:val="52217F96"/>
    <w:rsid w:val="522A0746"/>
    <w:rsid w:val="52507EB6"/>
    <w:rsid w:val="52636E23"/>
    <w:rsid w:val="5268443A"/>
    <w:rsid w:val="527C2636"/>
    <w:rsid w:val="53166A60"/>
    <w:rsid w:val="5365792B"/>
    <w:rsid w:val="536F7A4A"/>
    <w:rsid w:val="53A94F4E"/>
    <w:rsid w:val="53AE2320"/>
    <w:rsid w:val="53BD6A07"/>
    <w:rsid w:val="53C44056"/>
    <w:rsid w:val="53D004E8"/>
    <w:rsid w:val="53E2646E"/>
    <w:rsid w:val="53E37A74"/>
    <w:rsid w:val="53F73CC7"/>
    <w:rsid w:val="53FD1738"/>
    <w:rsid w:val="542B7B6C"/>
    <w:rsid w:val="544D23AD"/>
    <w:rsid w:val="5453207B"/>
    <w:rsid w:val="546543E4"/>
    <w:rsid w:val="548214E6"/>
    <w:rsid w:val="54B575F1"/>
    <w:rsid w:val="54D238FF"/>
    <w:rsid w:val="54D77772"/>
    <w:rsid w:val="55067F3A"/>
    <w:rsid w:val="55322ADD"/>
    <w:rsid w:val="557C1FAA"/>
    <w:rsid w:val="557D3636"/>
    <w:rsid w:val="558D768C"/>
    <w:rsid w:val="55CE0A58"/>
    <w:rsid w:val="56051FA0"/>
    <w:rsid w:val="56244B1C"/>
    <w:rsid w:val="563A51A1"/>
    <w:rsid w:val="564818AC"/>
    <w:rsid w:val="566B274A"/>
    <w:rsid w:val="566D0271"/>
    <w:rsid w:val="568B4B9B"/>
    <w:rsid w:val="568D446F"/>
    <w:rsid w:val="56B85264"/>
    <w:rsid w:val="56D4209E"/>
    <w:rsid w:val="56D62C0B"/>
    <w:rsid w:val="57253E9C"/>
    <w:rsid w:val="57480577"/>
    <w:rsid w:val="574F5BC8"/>
    <w:rsid w:val="575046D6"/>
    <w:rsid w:val="575431DF"/>
    <w:rsid w:val="575D7157"/>
    <w:rsid w:val="576D24F2"/>
    <w:rsid w:val="57886668"/>
    <w:rsid w:val="578D66F1"/>
    <w:rsid w:val="57945CD1"/>
    <w:rsid w:val="586B4C84"/>
    <w:rsid w:val="589F66DB"/>
    <w:rsid w:val="58A91308"/>
    <w:rsid w:val="596D67DA"/>
    <w:rsid w:val="59747B49"/>
    <w:rsid w:val="59797945"/>
    <w:rsid w:val="59A55F73"/>
    <w:rsid w:val="5A7A455C"/>
    <w:rsid w:val="5AA20705"/>
    <w:rsid w:val="5ACC12DE"/>
    <w:rsid w:val="5AD2487B"/>
    <w:rsid w:val="5B072D06"/>
    <w:rsid w:val="5B153B99"/>
    <w:rsid w:val="5B351579"/>
    <w:rsid w:val="5B437CBF"/>
    <w:rsid w:val="5B4B48F9"/>
    <w:rsid w:val="5B7E65E5"/>
    <w:rsid w:val="5BA26C0E"/>
    <w:rsid w:val="5BF25165"/>
    <w:rsid w:val="5C07081F"/>
    <w:rsid w:val="5C1F05A3"/>
    <w:rsid w:val="5C3D06E5"/>
    <w:rsid w:val="5C427AAA"/>
    <w:rsid w:val="5CF02EA3"/>
    <w:rsid w:val="5D04687A"/>
    <w:rsid w:val="5D096819"/>
    <w:rsid w:val="5D0E2082"/>
    <w:rsid w:val="5D1C654D"/>
    <w:rsid w:val="5D753EAF"/>
    <w:rsid w:val="5D810AA5"/>
    <w:rsid w:val="5D850596"/>
    <w:rsid w:val="5D852344"/>
    <w:rsid w:val="5D983F46"/>
    <w:rsid w:val="5D9F2CDA"/>
    <w:rsid w:val="5DD60DF1"/>
    <w:rsid w:val="5E0D0C39"/>
    <w:rsid w:val="5E3B2D6F"/>
    <w:rsid w:val="5E744166"/>
    <w:rsid w:val="5F076D88"/>
    <w:rsid w:val="5F2D4A41"/>
    <w:rsid w:val="5F48187B"/>
    <w:rsid w:val="5FB5188F"/>
    <w:rsid w:val="5FE50FFD"/>
    <w:rsid w:val="60545FFD"/>
    <w:rsid w:val="60C92C42"/>
    <w:rsid w:val="60D86C2E"/>
    <w:rsid w:val="60E17732"/>
    <w:rsid w:val="6126799A"/>
    <w:rsid w:val="613926B5"/>
    <w:rsid w:val="615D7134"/>
    <w:rsid w:val="616B76C1"/>
    <w:rsid w:val="616B7AA3"/>
    <w:rsid w:val="616C1FB5"/>
    <w:rsid w:val="61873A40"/>
    <w:rsid w:val="618E3791"/>
    <w:rsid w:val="61BC02FE"/>
    <w:rsid w:val="622639C9"/>
    <w:rsid w:val="62306653"/>
    <w:rsid w:val="6251225F"/>
    <w:rsid w:val="62AE40EB"/>
    <w:rsid w:val="62CE02E9"/>
    <w:rsid w:val="62D41677"/>
    <w:rsid w:val="62D41D1F"/>
    <w:rsid w:val="63C74D38"/>
    <w:rsid w:val="63DF2082"/>
    <w:rsid w:val="63E46CDF"/>
    <w:rsid w:val="63F41FD1"/>
    <w:rsid w:val="64070298"/>
    <w:rsid w:val="64416899"/>
    <w:rsid w:val="64753630"/>
    <w:rsid w:val="64B51169"/>
    <w:rsid w:val="64D911C7"/>
    <w:rsid w:val="64E57B6C"/>
    <w:rsid w:val="650224CC"/>
    <w:rsid w:val="65044496"/>
    <w:rsid w:val="651421FF"/>
    <w:rsid w:val="651641C9"/>
    <w:rsid w:val="65206DF6"/>
    <w:rsid w:val="652C579B"/>
    <w:rsid w:val="653077B7"/>
    <w:rsid w:val="653D3504"/>
    <w:rsid w:val="654725D5"/>
    <w:rsid w:val="65FF07B9"/>
    <w:rsid w:val="6607588A"/>
    <w:rsid w:val="66410DD2"/>
    <w:rsid w:val="666351EC"/>
    <w:rsid w:val="66855396"/>
    <w:rsid w:val="669453A6"/>
    <w:rsid w:val="66B15F58"/>
    <w:rsid w:val="66E36A05"/>
    <w:rsid w:val="66F72408"/>
    <w:rsid w:val="66FD780E"/>
    <w:rsid w:val="677D5BED"/>
    <w:rsid w:val="67BA0E3C"/>
    <w:rsid w:val="67C779FD"/>
    <w:rsid w:val="67CB129B"/>
    <w:rsid w:val="67E11479"/>
    <w:rsid w:val="67EE6D37"/>
    <w:rsid w:val="68350617"/>
    <w:rsid w:val="68352BB8"/>
    <w:rsid w:val="684E5A28"/>
    <w:rsid w:val="68633281"/>
    <w:rsid w:val="6894556A"/>
    <w:rsid w:val="68C606EB"/>
    <w:rsid w:val="68C63810"/>
    <w:rsid w:val="68D04E4C"/>
    <w:rsid w:val="68D46A5C"/>
    <w:rsid w:val="690C29E5"/>
    <w:rsid w:val="692B4AD5"/>
    <w:rsid w:val="6933534A"/>
    <w:rsid w:val="693B41FE"/>
    <w:rsid w:val="697119CE"/>
    <w:rsid w:val="69912070"/>
    <w:rsid w:val="69934F73"/>
    <w:rsid w:val="69D34437"/>
    <w:rsid w:val="69F140F6"/>
    <w:rsid w:val="69FA3260"/>
    <w:rsid w:val="6A1D56B2"/>
    <w:rsid w:val="6A890F99"/>
    <w:rsid w:val="6AD46A66"/>
    <w:rsid w:val="6ADF6E0B"/>
    <w:rsid w:val="6AE2325B"/>
    <w:rsid w:val="6AE44AD1"/>
    <w:rsid w:val="6AED593B"/>
    <w:rsid w:val="6B141A03"/>
    <w:rsid w:val="6B232223"/>
    <w:rsid w:val="6B237606"/>
    <w:rsid w:val="6B4A24D7"/>
    <w:rsid w:val="6BB44709"/>
    <w:rsid w:val="6BB554E5"/>
    <w:rsid w:val="6BBB5C40"/>
    <w:rsid w:val="6BD10E4A"/>
    <w:rsid w:val="6BDA7CFF"/>
    <w:rsid w:val="6C4433CA"/>
    <w:rsid w:val="6C691082"/>
    <w:rsid w:val="6C755C79"/>
    <w:rsid w:val="6C97174C"/>
    <w:rsid w:val="6CBC79F4"/>
    <w:rsid w:val="6CD401C3"/>
    <w:rsid w:val="6CED5E97"/>
    <w:rsid w:val="6D543AE1"/>
    <w:rsid w:val="6D6F34FA"/>
    <w:rsid w:val="6D8D6129"/>
    <w:rsid w:val="6DC905E7"/>
    <w:rsid w:val="6DDD5884"/>
    <w:rsid w:val="6E0E386C"/>
    <w:rsid w:val="6E103B09"/>
    <w:rsid w:val="6E382EA8"/>
    <w:rsid w:val="6E396833"/>
    <w:rsid w:val="6E5673E4"/>
    <w:rsid w:val="6E8977BA"/>
    <w:rsid w:val="6EC400FF"/>
    <w:rsid w:val="6ED76777"/>
    <w:rsid w:val="6EED4496"/>
    <w:rsid w:val="6F046E40"/>
    <w:rsid w:val="6F1A1012"/>
    <w:rsid w:val="6F375468"/>
    <w:rsid w:val="6F435BBB"/>
    <w:rsid w:val="6F502086"/>
    <w:rsid w:val="6F643868"/>
    <w:rsid w:val="6F683873"/>
    <w:rsid w:val="6F6F69B0"/>
    <w:rsid w:val="6F743FC6"/>
    <w:rsid w:val="6F7F4719"/>
    <w:rsid w:val="6F813A86"/>
    <w:rsid w:val="706202C3"/>
    <w:rsid w:val="70812E3F"/>
    <w:rsid w:val="708C3591"/>
    <w:rsid w:val="70F8010E"/>
    <w:rsid w:val="70F80C27"/>
    <w:rsid w:val="70FF5B11"/>
    <w:rsid w:val="71175551"/>
    <w:rsid w:val="71454C52"/>
    <w:rsid w:val="71544AC9"/>
    <w:rsid w:val="71753833"/>
    <w:rsid w:val="71754026"/>
    <w:rsid w:val="718524BB"/>
    <w:rsid w:val="71B37108"/>
    <w:rsid w:val="71D376CA"/>
    <w:rsid w:val="7204546B"/>
    <w:rsid w:val="72063F5C"/>
    <w:rsid w:val="72587BCF"/>
    <w:rsid w:val="72921485"/>
    <w:rsid w:val="72AC1CC9"/>
    <w:rsid w:val="72B33057"/>
    <w:rsid w:val="72C7128E"/>
    <w:rsid w:val="73412411"/>
    <w:rsid w:val="7355410F"/>
    <w:rsid w:val="73D72D76"/>
    <w:rsid w:val="74014883"/>
    <w:rsid w:val="743957DE"/>
    <w:rsid w:val="74471CA9"/>
    <w:rsid w:val="744B7032"/>
    <w:rsid w:val="745368A0"/>
    <w:rsid w:val="74570E78"/>
    <w:rsid w:val="74754A9F"/>
    <w:rsid w:val="749F1AE5"/>
    <w:rsid w:val="74D55507"/>
    <w:rsid w:val="74DA5A5D"/>
    <w:rsid w:val="74F87447"/>
    <w:rsid w:val="750C2CDE"/>
    <w:rsid w:val="75322959"/>
    <w:rsid w:val="755443BE"/>
    <w:rsid w:val="75671015"/>
    <w:rsid w:val="757F36C5"/>
    <w:rsid w:val="75AB309B"/>
    <w:rsid w:val="75E17EDC"/>
    <w:rsid w:val="75E85141"/>
    <w:rsid w:val="75F220E9"/>
    <w:rsid w:val="75F61BD9"/>
    <w:rsid w:val="75F93477"/>
    <w:rsid w:val="76320737"/>
    <w:rsid w:val="7675514D"/>
    <w:rsid w:val="7726029C"/>
    <w:rsid w:val="7731448E"/>
    <w:rsid w:val="77540C4C"/>
    <w:rsid w:val="777636AA"/>
    <w:rsid w:val="77A6318B"/>
    <w:rsid w:val="78111AD0"/>
    <w:rsid w:val="785B21C7"/>
    <w:rsid w:val="78636E06"/>
    <w:rsid w:val="78752787"/>
    <w:rsid w:val="787D00C5"/>
    <w:rsid w:val="78896C5F"/>
    <w:rsid w:val="789C784F"/>
    <w:rsid w:val="789E0A70"/>
    <w:rsid w:val="78B673FD"/>
    <w:rsid w:val="79094BEA"/>
    <w:rsid w:val="792A3948"/>
    <w:rsid w:val="7936566B"/>
    <w:rsid w:val="79703A50"/>
    <w:rsid w:val="797352EE"/>
    <w:rsid w:val="798C63B0"/>
    <w:rsid w:val="79DA65D2"/>
    <w:rsid w:val="79FB2643"/>
    <w:rsid w:val="7A344234"/>
    <w:rsid w:val="7A5769BE"/>
    <w:rsid w:val="7A58407F"/>
    <w:rsid w:val="7AB77117"/>
    <w:rsid w:val="7AF91823"/>
    <w:rsid w:val="7AFE508C"/>
    <w:rsid w:val="7B2014A6"/>
    <w:rsid w:val="7B3D6273"/>
    <w:rsid w:val="7B5306CF"/>
    <w:rsid w:val="7B6C0247"/>
    <w:rsid w:val="7B8C61F4"/>
    <w:rsid w:val="7BA021BA"/>
    <w:rsid w:val="7BBD4F47"/>
    <w:rsid w:val="7BC167E5"/>
    <w:rsid w:val="7BEC1388"/>
    <w:rsid w:val="7BF70459"/>
    <w:rsid w:val="7C352D2F"/>
    <w:rsid w:val="7C440E4A"/>
    <w:rsid w:val="7C442F72"/>
    <w:rsid w:val="7C4E5CF5"/>
    <w:rsid w:val="7C66550F"/>
    <w:rsid w:val="7CBC0D5A"/>
    <w:rsid w:val="7CCA3477"/>
    <w:rsid w:val="7CDB38D7"/>
    <w:rsid w:val="7D2F59D0"/>
    <w:rsid w:val="7D343C95"/>
    <w:rsid w:val="7E0230E5"/>
    <w:rsid w:val="7E18267F"/>
    <w:rsid w:val="7E266DD3"/>
    <w:rsid w:val="7E317FCB"/>
    <w:rsid w:val="7E553215"/>
    <w:rsid w:val="7EA83C8C"/>
    <w:rsid w:val="7EB20667"/>
    <w:rsid w:val="7EBE525E"/>
    <w:rsid w:val="7EEA1BAF"/>
    <w:rsid w:val="7F6851CA"/>
    <w:rsid w:val="7F734D83"/>
    <w:rsid w:val="7FAB4A35"/>
    <w:rsid w:val="7FE231CE"/>
    <w:rsid w:val="7FF5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1260</Words>
  <Characters>1403</Characters>
  <Lines>18</Lines>
  <Paragraphs>5</Paragraphs>
  <TotalTime>0</TotalTime>
  <ScaleCrop>false</ScaleCrop>
  <LinksUpToDate>false</LinksUpToDate>
  <CharactersWithSpaces>1411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2026-08-09T04:31:00Z</dcterms:created>
  <dc:creator>m_m_w</dc:creator>
  <cp:lastModifiedBy>马铭蔚</cp:lastModifiedBy>
  <dcterms:modified xsi:type="dcterms:W3CDTF">2026-08-17T02:00:53Z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eyJoZGlkIjoiODhiYTk4YWMxYWIwYjY5NWJlOWM0ZjgxNGU5ZDExYWEiLCJ1c2VySWQiOiI2MTc2NjcyNzYifQ==</vt:lpwstr>
  </property>
  <property fmtid="{D5CDD505-2E9C-101B-9397-08002B2CF9AE}" pid="4" name="ICV">
    <vt:lpwstr>A8771C4FECF7448992361ED81BC537E2_13</vt:lpwstr>
  </property>
</Properties>
</file>