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361DD7">
      <w:pPr>
        <w:keepNext w:val="0"/>
        <w:keepLines w:val="0"/>
        <w:pageBreakBefore w:val="0"/>
        <w:kinsoku/>
        <w:wordWrap/>
        <w:overflowPunct/>
        <w:topLinePunct w:val="0"/>
        <w:autoSpaceDE/>
        <w:autoSpaceDN/>
        <w:bidi w:val="0"/>
        <w:adjustRightInd/>
        <w:snapToGrid/>
        <w:spacing w:line="560" w:lineRule="exact"/>
        <w:ind w:left="0"/>
        <w:jc w:val="both"/>
        <w:textAlignment w:val="auto"/>
        <w:rPr>
          <w:rFonts w:hint="default" w:ascii="Nimbus Roman No9 L" w:hAnsi="Nimbus Roman No9 L" w:eastAsia="黑体" w:cs="黑体"/>
          <w:b w:val="0"/>
          <w:bCs w:val="0"/>
          <w:color w:val="auto"/>
          <w:sz w:val="32"/>
          <w:szCs w:val="32"/>
          <w:lang w:val="en-US" w:eastAsia="zh-CN"/>
        </w:rPr>
      </w:pPr>
      <w:bookmarkStart w:id="6" w:name="_GoBack"/>
      <w:bookmarkEnd w:id="6"/>
      <w:r>
        <w:rPr>
          <w:rFonts w:hint="eastAsia" w:ascii="Nimbus Roman No9 L" w:hAnsi="Nimbus Roman No9 L" w:eastAsia="黑体" w:cs="黑体"/>
          <w:b w:val="0"/>
          <w:bCs w:val="0"/>
          <w:color w:val="auto"/>
          <w:sz w:val="32"/>
          <w:szCs w:val="32"/>
          <w:lang w:eastAsia="zh-CN"/>
        </w:rPr>
        <w:t>附件</w:t>
      </w:r>
      <w:r>
        <w:rPr>
          <w:rFonts w:hint="eastAsia" w:ascii="Nimbus Roman No9 L" w:hAnsi="Nimbus Roman No9 L" w:eastAsia="黑体" w:cs="黑体"/>
          <w:b w:val="0"/>
          <w:bCs w:val="0"/>
          <w:color w:val="auto"/>
          <w:sz w:val="32"/>
          <w:szCs w:val="32"/>
          <w:lang w:val="en-US" w:eastAsia="zh-CN"/>
        </w:rPr>
        <w:t>2</w:t>
      </w:r>
    </w:p>
    <w:p w14:paraId="3D37416B">
      <w:pPr>
        <w:keepNext w:val="0"/>
        <w:keepLines w:val="0"/>
        <w:pageBreakBefore w:val="0"/>
        <w:widowControl w:val="0"/>
        <w:kinsoku/>
        <w:wordWrap/>
        <w:overflowPunct/>
        <w:topLinePunct w:val="0"/>
        <w:autoSpaceDE/>
        <w:autoSpaceDN/>
        <w:bidi w:val="0"/>
        <w:adjustRightInd/>
        <w:snapToGrid/>
        <w:spacing w:line="680" w:lineRule="exact"/>
        <w:ind w:left="0"/>
        <w:jc w:val="both"/>
        <w:textAlignment w:val="auto"/>
        <w:rPr>
          <w:rFonts w:hint="eastAsia" w:ascii="Nimbus Roman No9 L" w:hAnsi="Nimbus Roman No9 L" w:eastAsia="方正小标宋简体" w:cs="方正小标宋简体"/>
          <w:b w:val="0"/>
          <w:bCs w:val="0"/>
          <w:color w:val="auto"/>
          <w:sz w:val="44"/>
          <w:szCs w:val="44"/>
        </w:rPr>
      </w:pPr>
    </w:p>
    <w:p w14:paraId="5EFC8822">
      <w:pPr>
        <w:pStyle w:val="2"/>
        <w:rPr>
          <w:rFonts w:hint="eastAsia" w:ascii="Nimbus Roman No9 L" w:hAnsi="Nimbus Roman No9 L" w:eastAsia="方正小标宋简体" w:cs="方正小标宋简体"/>
          <w:b w:val="0"/>
          <w:bCs w:val="0"/>
          <w:color w:val="auto"/>
          <w:sz w:val="44"/>
          <w:szCs w:val="44"/>
        </w:rPr>
      </w:pPr>
    </w:p>
    <w:p w14:paraId="2AD07A4D">
      <w:pPr>
        <w:rPr>
          <w:rFonts w:hint="eastAsia" w:ascii="Nimbus Roman No9 L" w:hAnsi="Nimbus Roman No9 L" w:eastAsia="方正小标宋简体" w:cs="方正小标宋简体"/>
          <w:b w:val="0"/>
          <w:bCs w:val="0"/>
          <w:color w:val="auto"/>
          <w:sz w:val="44"/>
          <w:szCs w:val="44"/>
        </w:rPr>
      </w:pPr>
    </w:p>
    <w:p w14:paraId="722EDCB3">
      <w:pPr>
        <w:pStyle w:val="2"/>
        <w:rPr>
          <w:rFonts w:hint="eastAsia" w:ascii="Nimbus Roman No9 L" w:hAnsi="Nimbus Roman No9 L" w:eastAsia="方正小标宋简体" w:cs="方正小标宋简体"/>
          <w:b w:val="0"/>
          <w:bCs w:val="0"/>
          <w:color w:val="auto"/>
          <w:sz w:val="44"/>
          <w:szCs w:val="44"/>
        </w:rPr>
      </w:pPr>
    </w:p>
    <w:p w14:paraId="2FAEB2E7">
      <w:pPr>
        <w:rPr>
          <w:rFonts w:hint="eastAsia" w:ascii="Nimbus Roman No9 L" w:hAnsi="Nimbus Roman No9 L"/>
        </w:rPr>
      </w:pPr>
    </w:p>
    <w:p w14:paraId="130AFB57">
      <w:pPr>
        <w:pStyle w:val="2"/>
        <w:rPr>
          <w:rFonts w:hint="eastAsia" w:ascii="Nimbus Roman No9 L" w:hAnsi="Nimbus Roman No9 L"/>
        </w:rPr>
      </w:pPr>
    </w:p>
    <w:p w14:paraId="4D4A523D">
      <w:pPr>
        <w:keepNext w:val="0"/>
        <w:keepLines w:val="0"/>
        <w:pageBreakBefore w:val="0"/>
        <w:widowControl w:val="0"/>
        <w:kinsoku/>
        <w:wordWrap/>
        <w:overflowPunct/>
        <w:topLinePunct w:val="0"/>
        <w:autoSpaceDE/>
        <w:autoSpaceDN/>
        <w:bidi w:val="0"/>
        <w:adjustRightInd/>
        <w:snapToGrid/>
        <w:spacing w:line="680" w:lineRule="exact"/>
        <w:ind w:left="0"/>
        <w:jc w:val="center"/>
        <w:textAlignment w:val="auto"/>
        <w:rPr>
          <w:rFonts w:hint="eastAsia" w:ascii="Nimbus Roman No9 L" w:hAnsi="Nimbus Roman No9 L" w:eastAsia="方正小标宋简体" w:cs="方正小标宋简体"/>
          <w:b w:val="0"/>
          <w:bCs w:val="0"/>
          <w:color w:val="auto"/>
          <w:sz w:val="44"/>
          <w:szCs w:val="44"/>
        </w:rPr>
      </w:pPr>
      <w:r>
        <w:rPr>
          <w:rFonts w:hint="eastAsia" w:ascii="Nimbus Roman No9 L" w:hAnsi="Nimbus Roman No9 L" w:eastAsia="方正小标宋简体" w:cs="方正小标宋简体"/>
          <w:b w:val="0"/>
          <w:bCs w:val="0"/>
          <w:color w:val="auto"/>
          <w:sz w:val="44"/>
          <w:szCs w:val="44"/>
        </w:rPr>
        <w:t>202</w:t>
      </w:r>
      <w:r>
        <w:rPr>
          <w:rFonts w:hint="eastAsia" w:ascii="Nimbus Roman No9 L" w:hAnsi="Nimbus Roman No9 L" w:eastAsia="方正小标宋简体" w:cs="方正小标宋简体"/>
          <w:b w:val="0"/>
          <w:bCs w:val="0"/>
          <w:color w:val="auto"/>
          <w:sz w:val="44"/>
          <w:szCs w:val="44"/>
          <w:lang w:val="en-US" w:eastAsia="zh-CN"/>
        </w:rPr>
        <w:t>6</w:t>
      </w:r>
      <w:r>
        <w:rPr>
          <w:rFonts w:hint="eastAsia" w:ascii="Nimbus Roman No9 L" w:hAnsi="Nimbus Roman No9 L" w:eastAsia="方正小标宋简体" w:cs="方正小标宋简体"/>
          <w:b w:val="0"/>
          <w:bCs w:val="0"/>
          <w:color w:val="auto"/>
          <w:sz w:val="44"/>
          <w:szCs w:val="44"/>
        </w:rPr>
        <w:t>年天津市自然科学基金</w:t>
      </w:r>
    </w:p>
    <w:p w14:paraId="0C898175">
      <w:pPr>
        <w:keepNext w:val="0"/>
        <w:keepLines w:val="0"/>
        <w:pageBreakBefore w:val="0"/>
        <w:widowControl w:val="0"/>
        <w:kinsoku/>
        <w:wordWrap/>
        <w:overflowPunct/>
        <w:topLinePunct w:val="0"/>
        <w:autoSpaceDE/>
        <w:autoSpaceDN/>
        <w:bidi w:val="0"/>
        <w:adjustRightInd/>
        <w:snapToGrid/>
        <w:spacing w:line="680" w:lineRule="exact"/>
        <w:ind w:left="0"/>
        <w:jc w:val="center"/>
        <w:textAlignment w:val="auto"/>
        <w:rPr>
          <w:rFonts w:hint="eastAsia" w:ascii="Nimbus Roman No9 L" w:hAnsi="Nimbus Roman No9 L" w:eastAsia="方正小标宋简体" w:cs="方正小标宋简体"/>
          <w:b w:val="0"/>
          <w:bCs w:val="0"/>
          <w:color w:val="auto"/>
          <w:sz w:val="44"/>
          <w:szCs w:val="44"/>
        </w:rPr>
      </w:pPr>
      <w:r>
        <w:rPr>
          <w:rFonts w:hint="eastAsia" w:ascii="Nimbus Roman No9 L" w:hAnsi="Nimbus Roman No9 L" w:eastAsia="方正小标宋简体" w:cs="方正小标宋简体"/>
          <w:b w:val="0"/>
          <w:bCs w:val="0"/>
          <w:color w:val="auto"/>
          <w:sz w:val="44"/>
          <w:szCs w:val="44"/>
        </w:rPr>
        <w:t>联合基金项目指南</w:t>
      </w:r>
    </w:p>
    <w:p w14:paraId="343970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黑体" w:cs="黑体"/>
          <w:b w:val="0"/>
          <w:bCs w:val="0"/>
          <w:color w:val="auto"/>
          <w:sz w:val="32"/>
          <w:szCs w:val="32"/>
          <w:lang w:eastAsia="zh-CN"/>
        </w:rPr>
      </w:pPr>
    </w:p>
    <w:p w14:paraId="1FC350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黑体" w:cs="黑体"/>
          <w:b w:val="0"/>
          <w:bCs w:val="0"/>
          <w:color w:val="auto"/>
          <w:sz w:val="32"/>
          <w:szCs w:val="32"/>
          <w:lang w:eastAsia="zh-CN"/>
        </w:rPr>
      </w:pPr>
    </w:p>
    <w:p w14:paraId="224FCF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黑体" w:cs="黑体"/>
          <w:b w:val="0"/>
          <w:bCs w:val="0"/>
          <w:color w:val="auto"/>
          <w:sz w:val="32"/>
          <w:szCs w:val="32"/>
          <w:lang w:eastAsia="zh-CN"/>
        </w:rPr>
      </w:pPr>
    </w:p>
    <w:p w14:paraId="493006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黑体" w:cs="黑体"/>
          <w:b w:val="0"/>
          <w:bCs w:val="0"/>
          <w:color w:val="auto"/>
          <w:sz w:val="32"/>
          <w:szCs w:val="32"/>
          <w:lang w:eastAsia="zh-CN"/>
        </w:rPr>
      </w:pPr>
    </w:p>
    <w:p w14:paraId="6D4111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黑体" w:cs="黑体"/>
          <w:b w:val="0"/>
          <w:bCs w:val="0"/>
          <w:color w:val="auto"/>
          <w:sz w:val="32"/>
          <w:szCs w:val="32"/>
          <w:lang w:eastAsia="zh-CN"/>
        </w:rPr>
      </w:pPr>
    </w:p>
    <w:p w14:paraId="3F7EA8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黑体" w:cs="黑体"/>
          <w:b w:val="0"/>
          <w:bCs w:val="0"/>
          <w:color w:val="auto"/>
          <w:sz w:val="32"/>
          <w:szCs w:val="32"/>
          <w:lang w:eastAsia="zh-CN"/>
        </w:rPr>
      </w:pPr>
    </w:p>
    <w:p w14:paraId="65918B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黑体" w:cs="黑体"/>
          <w:b w:val="0"/>
          <w:bCs w:val="0"/>
          <w:color w:val="auto"/>
          <w:sz w:val="32"/>
          <w:szCs w:val="32"/>
          <w:lang w:eastAsia="zh-CN"/>
        </w:rPr>
      </w:pPr>
    </w:p>
    <w:p w14:paraId="553AB06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黑体" w:cs="黑体"/>
          <w:b w:val="0"/>
          <w:bCs w:val="0"/>
          <w:color w:val="auto"/>
          <w:sz w:val="32"/>
          <w:szCs w:val="32"/>
          <w:lang w:eastAsia="zh-CN"/>
        </w:rPr>
      </w:pPr>
    </w:p>
    <w:p w14:paraId="0415D1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黑体" w:cs="黑体"/>
          <w:b w:val="0"/>
          <w:bCs w:val="0"/>
          <w:color w:val="auto"/>
          <w:sz w:val="32"/>
          <w:szCs w:val="32"/>
          <w:lang w:eastAsia="zh-CN"/>
        </w:rPr>
      </w:pPr>
    </w:p>
    <w:p w14:paraId="0DCB435B">
      <w:pPr>
        <w:pStyle w:val="2"/>
        <w:rPr>
          <w:rFonts w:hint="eastAsia"/>
          <w:lang w:eastAsia="zh-CN"/>
        </w:rPr>
      </w:pPr>
    </w:p>
    <w:p w14:paraId="62812A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黑体" w:cs="黑体"/>
          <w:b w:val="0"/>
          <w:bCs w:val="0"/>
          <w:color w:val="auto"/>
          <w:sz w:val="32"/>
          <w:szCs w:val="32"/>
          <w:lang w:eastAsia="zh-CN"/>
        </w:rPr>
      </w:pPr>
    </w:p>
    <w:p w14:paraId="55CB77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黑体" w:cs="黑体"/>
          <w:b w:val="0"/>
          <w:bCs w:val="0"/>
          <w:color w:val="auto"/>
          <w:sz w:val="32"/>
          <w:szCs w:val="32"/>
          <w:lang w:eastAsia="zh-CN"/>
        </w:rPr>
      </w:pPr>
    </w:p>
    <w:p w14:paraId="2A9CA8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黑体" w:cs="黑体"/>
          <w:b w:val="0"/>
          <w:bCs w:val="0"/>
          <w:color w:val="auto"/>
          <w:sz w:val="32"/>
          <w:szCs w:val="32"/>
          <w:lang w:eastAsia="zh-CN"/>
        </w:rPr>
      </w:pPr>
    </w:p>
    <w:p w14:paraId="5B71730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Nimbus Roman No9 L" w:hAnsi="Nimbus Roman No9 L" w:eastAsia="黑体" w:cs="黑体"/>
          <w:b w:val="0"/>
          <w:bCs w:val="0"/>
          <w:color w:val="auto"/>
          <w:sz w:val="44"/>
          <w:szCs w:val="44"/>
          <w:lang w:eastAsia="zh-CN"/>
        </w:rPr>
      </w:pPr>
      <w:r>
        <w:rPr>
          <w:rFonts w:hint="eastAsia" w:ascii="Nimbus Roman No9 L" w:hAnsi="Nimbus Roman No9 L" w:eastAsia="黑体" w:cs="黑体"/>
          <w:b w:val="0"/>
          <w:bCs w:val="0"/>
          <w:color w:val="auto"/>
          <w:sz w:val="44"/>
          <w:szCs w:val="44"/>
          <w:lang w:eastAsia="zh-CN"/>
        </w:rPr>
        <w:t>目</w:t>
      </w:r>
      <w:r>
        <w:rPr>
          <w:rFonts w:hint="eastAsia" w:ascii="Nimbus Roman No9 L" w:hAnsi="Nimbus Roman No9 L" w:eastAsia="黑体" w:cs="黑体"/>
          <w:b w:val="0"/>
          <w:bCs w:val="0"/>
          <w:color w:val="auto"/>
          <w:sz w:val="44"/>
          <w:szCs w:val="44"/>
          <w:lang w:val="en-US" w:eastAsia="zh-CN"/>
        </w:rPr>
        <w:t xml:space="preserve">   </w:t>
      </w:r>
      <w:r>
        <w:rPr>
          <w:rFonts w:hint="eastAsia" w:ascii="Nimbus Roman No9 L" w:hAnsi="Nimbus Roman No9 L" w:eastAsia="黑体" w:cs="黑体"/>
          <w:b w:val="0"/>
          <w:bCs w:val="0"/>
          <w:color w:val="auto"/>
          <w:sz w:val="44"/>
          <w:szCs w:val="44"/>
          <w:lang w:eastAsia="zh-CN"/>
        </w:rPr>
        <w:t>录</w:t>
      </w:r>
    </w:p>
    <w:p w14:paraId="13896573">
      <w:pPr>
        <w:pStyle w:val="2"/>
        <w:rPr>
          <w:rFonts w:hint="eastAsia" w:ascii="Nimbus Roman No9 L" w:hAnsi="Nimbus Roman No9 L" w:eastAsia="黑体" w:cs="黑体"/>
          <w:b w:val="0"/>
          <w:bCs w:val="0"/>
          <w:color w:val="auto"/>
          <w:sz w:val="32"/>
          <w:szCs w:val="32"/>
          <w:lang w:eastAsia="zh-CN"/>
        </w:rPr>
      </w:pPr>
    </w:p>
    <w:p w14:paraId="464D6478">
      <w:pPr>
        <w:rPr>
          <w:rFonts w:hint="eastAsia" w:ascii="Nimbus Roman No9 L" w:hAnsi="Nimbus Roman No9 L"/>
          <w:lang w:eastAsia="zh-CN"/>
        </w:rPr>
      </w:pPr>
    </w:p>
    <w:p w14:paraId="3B857E8B">
      <w:pPr>
        <w:pStyle w:val="5"/>
        <w:tabs>
          <w:tab w:val="right" w:leader="dot" w:pos="8845"/>
        </w:tabs>
        <w:rPr>
          <w:rFonts w:hint="eastAsia" w:ascii="Nimbus Roman No9 L" w:hAnsi="Nimbus Roman No9 L" w:eastAsia="仿宋_GB2312" w:cs="仿宋_GB2312"/>
          <w:sz w:val="32"/>
          <w:szCs w:val="32"/>
        </w:rPr>
      </w:pPr>
      <w:r>
        <w:rPr>
          <w:rFonts w:hint="eastAsia" w:ascii="Nimbus Roman No9 L" w:hAnsi="Nimbus Roman No9 L" w:eastAsia="仿宋_GB2312" w:cs="仿宋_GB2312"/>
          <w:sz w:val="32"/>
          <w:szCs w:val="32"/>
          <w:lang w:eastAsia="zh-CN"/>
        </w:rPr>
        <w:fldChar w:fldCharType="begin"/>
      </w:r>
      <w:r>
        <w:rPr>
          <w:rFonts w:hint="eastAsia" w:ascii="Nimbus Roman No9 L" w:hAnsi="Nimbus Roman No9 L" w:eastAsia="仿宋_GB2312" w:cs="仿宋_GB2312"/>
          <w:sz w:val="32"/>
          <w:szCs w:val="32"/>
          <w:lang w:eastAsia="zh-CN"/>
        </w:rPr>
        <w:instrText xml:space="preserve">TOC \t "样式2,1" \h</w:instrText>
      </w:r>
      <w:r>
        <w:rPr>
          <w:rFonts w:hint="eastAsia" w:ascii="Nimbus Roman No9 L" w:hAnsi="Nimbus Roman No9 L" w:eastAsia="仿宋_GB2312" w:cs="仿宋_GB2312"/>
          <w:sz w:val="32"/>
          <w:szCs w:val="32"/>
          <w:lang w:eastAsia="zh-CN"/>
        </w:rPr>
        <w:fldChar w:fldCharType="separate"/>
      </w:r>
      <w:r>
        <w:rPr>
          <w:rFonts w:hint="eastAsia" w:ascii="Nimbus Roman No9 L" w:hAnsi="Nimbus Roman No9 L" w:eastAsia="仿宋_GB2312" w:cs="仿宋_GB2312"/>
          <w:sz w:val="32"/>
          <w:szCs w:val="32"/>
          <w:lang w:eastAsia="zh-CN"/>
        </w:rPr>
        <w:fldChar w:fldCharType="begin"/>
      </w:r>
      <w:r>
        <w:rPr>
          <w:rFonts w:hint="eastAsia" w:ascii="Nimbus Roman No9 L" w:hAnsi="Nimbus Roman No9 L" w:eastAsia="仿宋_GB2312" w:cs="仿宋_GB2312"/>
          <w:sz w:val="32"/>
          <w:szCs w:val="32"/>
          <w:lang w:eastAsia="zh-CN"/>
        </w:rPr>
        <w:instrText xml:space="preserve"> HYPERLINK \l _Toc1918812793 </w:instrText>
      </w:r>
      <w:r>
        <w:rPr>
          <w:rFonts w:hint="eastAsia" w:ascii="Nimbus Roman No9 L" w:hAnsi="Nimbus Roman No9 L" w:eastAsia="仿宋_GB2312" w:cs="仿宋_GB2312"/>
          <w:sz w:val="32"/>
          <w:szCs w:val="32"/>
          <w:lang w:eastAsia="zh-CN"/>
        </w:rPr>
        <w:fldChar w:fldCharType="separate"/>
      </w:r>
      <w:r>
        <w:rPr>
          <w:rFonts w:hint="eastAsia" w:ascii="Nimbus Roman No9 L" w:hAnsi="Nimbus Roman No9 L" w:eastAsia="仿宋_GB2312" w:cs="仿宋_GB2312"/>
          <w:sz w:val="32"/>
          <w:szCs w:val="32"/>
          <w:lang w:eastAsia="zh-CN"/>
        </w:rPr>
        <w:t>一、中海油服海洋能源高技术服务项目</w:t>
      </w:r>
      <w:r>
        <w:rPr>
          <w:rFonts w:hint="eastAsia" w:ascii="Nimbus Roman No9 L" w:hAnsi="Nimbus Roman No9 L" w:eastAsia="仿宋_GB2312" w:cs="仿宋_GB2312"/>
          <w:sz w:val="32"/>
          <w:szCs w:val="32"/>
        </w:rPr>
        <w:tab/>
      </w:r>
      <w:r>
        <w:rPr>
          <w:rFonts w:hint="eastAsia" w:ascii="Nimbus Roman No9 L" w:hAnsi="Nimbus Roman No9 L" w:eastAsia="仿宋_GB2312" w:cs="仿宋_GB2312"/>
          <w:sz w:val="32"/>
          <w:szCs w:val="32"/>
        </w:rPr>
        <w:fldChar w:fldCharType="begin"/>
      </w:r>
      <w:r>
        <w:rPr>
          <w:rFonts w:hint="eastAsia" w:ascii="Nimbus Roman No9 L" w:hAnsi="Nimbus Roman No9 L" w:eastAsia="仿宋_GB2312" w:cs="仿宋_GB2312"/>
          <w:sz w:val="32"/>
          <w:szCs w:val="32"/>
        </w:rPr>
        <w:instrText xml:space="preserve"> PAGEREF _Toc1918812793 </w:instrText>
      </w:r>
      <w:r>
        <w:rPr>
          <w:rFonts w:hint="eastAsia" w:ascii="Nimbus Roman No9 L" w:hAnsi="Nimbus Roman No9 L" w:eastAsia="仿宋_GB2312" w:cs="仿宋_GB2312"/>
          <w:sz w:val="32"/>
          <w:szCs w:val="32"/>
        </w:rPr>
        <w:fldChar w:fldCharType="separate"/>
      </w:r>
      <w:r>
        <w:rPr>
          <w:rFonts w:hint="eastAsia" w:ascii="Nimbus Roman No9 L" w:hAnsi="Nimbus Roman No9 L" w:eastAsia="仿宋_GB2312" w:cs="仿宋_GB2312"/>
          <w:sz w:val="32"/>
          <w:szCs w:val="32"/>
        </w:rPr>
        <w:t>- 3 -</w:t>
      </w:r>
      <w:r>
        <w:rPr>
          <w:rFonts w:hint="eastAsia" w:ascii="Nimbus Roman No9 L" w:hAnsi="Nimbus Roman No9 L" w:eastAsia="仿宋_GB2312" w:cs="仿宋_GB2312"/>
          <w:sz w:val="32"/>
          <w:szCs w:val="32"/>
        </w:rPr>
        <w:fldChar w:fldCharType="end"/>
      </w:r>
      <w:r>
        <w:rPr>
          <w:rFonts w:hint="eastAsia" w:ascii="Nimbus Roman No9 L" w:hAnsi="Nimbus Roman No9 L" w:eastAsia="仿宋_GB2312" w:cs="仿宋_GB2312"/>
          <w:sz w:val="32"/>
          <w:szCs w:val="32"/>
          <w:lang w:eastAsia="zh-CN"/>
        </w:rPr>
        <w:fldChar w:fldCharType="end"/>
      </w:r>
    </w:p>
    <w:p w14:paraId="7696F4DE">
      <w:pPr>
        <w:pStyle w:val="5"/>
        <w:tabs>
          <w:tab w:val="right" w:leader="dot" w:pos="8845"/>
        </w:tabs>
        <w:rPr>
          <w:rFonts w:hint="eastAsia" w:ascii="Nimbus Roman No9 L" w:hAnsi="Nimbus Roman No9 L" w:eastAsia="仿宋_GB2312" w:cs="仿宋_GB2312"/>
          <w:sz w:val="32"/>
          <w:szCs w:val="32"/>
        </w:rPr>
      </w:pPr>
      <w:r>
        <w:rPr>
          <w:rFonts w:hint="eastAsia" w:ascii="Nimbus Roman No9 L" w:hAnsi="Nimbus Roman No9 L" w:eastAsia="仿宋_GB2312" w:cs="仿宋_GB2312"/>
          <w:sz w:val="32"/>
          <w:szCs w:val="32"/>
          <w:lang w:eastAsia="zh-CN"/>
        </w:rPr>
        <w:fldChar w:fldCharType="begin"/>
      </w:r>
      <w:r>
        <w:rPr>
          <w:rFonts w:hint="eastAsia" w:ascii="Nimbus Roman No9 L" w:hAnsi="Nimbus Roman No9 L" w:eastAsia="仿宋_GB2312" w:cs="仿宋_GB2312"/>
          <w:sz w:val="32"/>
          <w:szCs w:val="32"/>
          <w:lang w:eastAsia="zh-CN"/>
        </w:rPr>
        <w:instrText xml:space="preserve"> HYPERLINK \l _Toc1457248039 </w:instrText>
      </w:r>
      <w:r>
        <w:rPr>
          <w:rFonts w:hint="eastAsia" w:ascii="Nimbus Roman No9 L" w:hAnsi="Nimbus Roman No9 L" w:eastAsia="仿宋_GB2312" w:cs="仿宋_GB2312"/>
          <w:sz w:val="32"/>
          <w:szCs w:val="32"/>
          <w:lang w:eastAsia="zh-CN"/>
        </w:rPr>
        <w:fldChar w:fldCharType="separate"/>
      </w:r>
      <w:r>
        <w:rPr>
          <w:rFonts w:hint="eastAsia" w:ascii="Nimbus Roman No9 L" w:hAnsi="Nimbus Roman No9 L" w:eastAsia="仿宋_GB2312" w:cs="仿宋_GB2312"/>
          <w:sz w:val="32"/>
          <w:szCs w:val="32"/>
          <w:lang w:eastAsia="zh-CN"/>
        </w:rPr>
        <w:t>二、医学影像与放疗安全项目</w:t>
      </w:r>
      <w:r>
        <w:rPr>
          <w:rFonts w:hint="eastAsia" w:ascii="Nimbus Roman No9 L" w:hAnsi="Nimbus Roman No9 L" w:eastAsia="仿宋_GB2312" w:cs="仿宋_GB2312"/>
          <w:sz w:val="32"/>
          <w:szCs w:val="32"/>
        </w:rPr>
        <w:tab/>
      </w:r>
      <w:r>
        <w:rPr>
          <w:rFonts w:hint="eastAsia" w:ascii="Nimbus Roman No9 L" w:hAnsi="Nimbus Roman No9 L" w:eastAsia="仿宋_GB2312" w:cs="仿宋_GB2312"/>
          <w:sz w:val="32"/>
          <w:szCs w:val="32"/>
        </w:rPr>
        <w:fldChar w:fldCharType="begin"/>
      </w:r>
      <w:r>
        <w:rPr>
          <w:rFonts w:hint="eastAsia" w:ascii="Nimbus Roman No9 L" w:hAnsi="Nimbus Roman No9 L" w:eastAsia="仿宋_GB2312" w:cs="仿宋_GB2312"/>
          <w:sz w:val="32"/>
          <w:szCs w:val="32"/>
        </w:rPr>
        <w:instrText xml:space="preserve"> PAGEREF _Toc1457248039 </w:instrText>
      </w:r>
      <w:r>
        <w:rPr>
          <w:rFonts w:hint="eastAsia" w:ascii="Nimbus Roman No9 L" w:hAnsi="Nimbus Roman No9 L" w:eastAsia="仿宋_GB2312" w:cs="仿宋_GB2312"/>
          <w:sz w:val="32"/>
          <w:szCs w:val="32"/>
        </w:rPr>
        <w:fldChar w:fldCharType="separate"/>
      </w:r>
      <w:r>
        <w:rPr>
          <w:rFonts w:hint="eastAsia" w:ascii="Nimbus Roman No9 L" w:hAnsi="Nimbus Roman No9 L" w:eastAsia="仿宋_GB2312" w:cs="仿宋_GB2312"/>
          <w:sz w:val="32"/>
          <w:szCs w:val="32"/>
        </w:rPr>
        <w:t>- 11 -</w:t>
      </w:r>
      <w:r>
        <w:rPr>
          <w:rFonts w:hint="eastAsia" w:ascii="Nimbus Roman No9 L" w:hAnsi="Nimbus Roman No9 L" w:eastAsia="仿宋_GB2312" w:cs="仿宋_GB2312"/>
          <w:sz w:val="32"/>
          <w:szCs w:val="32"/>
        </w:rPr>
        <w:fldChar w:fldCharType="end"/>
      </w:r>
      <w:r>
        <w:rPr>
          <w:rFonts w:hint="eastAsia" w:ascii="Nimbus Roman No9 L" w:hAnsi="Nimbus Roman No9 L" w:eastAsia="仿宋_GB2312" w:cs="仿宋_GB2312"/>
          <w:sz w:val="32"/>
          <w:szCs w:val="32"/>
          <w:lang w:eastAsia="zh-CN"/>
        </w:rPr>
        <w:fldChar w:fldCharType="end"/>
      </w:r>
    </w:p>
    <w:p w14:paraId="358CE683">
      <w:pPr>
        <w:pStyle w:val="5"/>
        <w:tabs>
          <w:tab w:val="right" w:leader="dot" w:pos="8845"/>
        </w:tabs>
        <w:rPr>
          <w:rFonts w:hint="eastAsia" w:ascii="Nimbus Roman No9 L" w:hAnsi="Nimbus Roman No9 L" w:eastAsia="仿宋_GB2312" w:cs="仿宋_GB2312"/>
          <w:sz w:val="32"/>
          <w:szCs w:val="32"/>
        </w:rPr>
      </w:pPr>
      <w:r>
        <w:rPr>
          <w:rFonts w:hint="eastAsia" w:ascii="Nimbus Roman No9 L" w:hAnsi="Nimbus Roman No9 L" w:eastAsia="仿宋_GB2312" w:cs="仿宋_GB2312"/>
          <w:sz w:val="32"/>
          <w:szCs w:val="32"/>
          <w:lang w:eastAsia="zh-CN"/>
        </w:rPr>
        <w:fldChar w:fldCharType="begin"/>
      </w:r>
      <w:r>
        <w:rPr>
          <w:rFonts w:hint="eastAsia" w:ascii="Nimbus Roman No9 L" w:hAnsi="Nimbus Roman No9 L" w:eastAsia="仿宋_GB2312" w:cs="仿宋_GB2312"/>
          <w:sz w:val="32"/>
          <w:szCs w:val="32"/>
          <w:lang w:eastAsia="zh-CN"/>
        </w:rPr>
        <w:instrText xml:space="preserve"> HYPERLINK \l _Toc2120120376 </w:instrText>
      </w:r>
      <w:r>
        <w:rPr>
          <w:rFonts w:hint="eastAsia" w:ascii="Nimbus Roman No9 L" w:hAnsi="Nimbus Roman No9 L" w:eastAsia="仿宋_GB2312" w:cs="仿宋_GB2312"/>
          <w:sz w:val="32"/>
          <w:szCs w:val="32"/>
          <w:lang w:eastAsia="zh-CN"/>
        </w:rPr>
        <w:fldChar w:fldCharType="separate"/>
      </w:r>
      <w:r>
        <w:rPr>
          <w:rFonts w:hint="eastAsia" w:ascii="Nimbus Roman No9 L" w:hAnsi="Nimbus Roman No9 L" w:eastAsia="仿宋_GB2312" w:cs="仿宋_GB2312"/>
          <w:sz w:val="32"/>
          <w:szCs w:val="32"/>
          <w:lang w:eastAsia="zh-CN"/>
        </w:rPr>
        <w:t>三、人因智能项目</w:t>
      </w:r>
      <w:r>
        <w:rPr>
          <w:rFonts w:hint="eastAsia" w:ascii="Nimbus Roman No9 L" w:hAnsi="Nimbus Roman No9 L" w:eastAsia="仿宋_GB2312" w:cs="仿宋_GB2312"/>
          <w:sz w:val="32"/>
          <w:szCs w:val="32"/>
        </w:rPr>
        <w:tab/>
      </w:r>
      <w:r>
        <w:rPr>
          <w:rFonts w:hint="eastAsia" w:ascii="Nimbus Roman No9 L" w:hAnsi="Nimbus Roman No9 L" w:eastAsia="仿宋_GB2312" w:cs="仿宋_GB2312"/>
          <w:sz w:val="32"/>
          <w:szCs w:val="32"/>
        </w:rPr>
        <w:fldChar w:fldCharType="begin"/>
      </w:r>
      <w:r>
        <w:rPr>
          <w:rFonts w:hint="eastAsia" w:ascii="Nimbus Roman No9 L" w:hAnsi="Nimbus Roman No9 L" w:eastAsia="仿宋_GB2312" w:cs="仿宋_GB2312"/>
          <w:sz w:val="32"/>
          <w:szCs w:val="32"/>
        </w:rPr>
        <w:instrText xml:space="preserve"> PAGEREF _Toc2120120376 </w:instrText>
      </w:r>
      <w:r>
        <w:rPr>
          <w:rFonts w:hint="eastAsia" w:ascii="Nimbus Roman No9 L" w:hAnsi="Nimbus Roman No9 L" w:eastAsia="仿宋_GB2312" w:cs="仿宋_GB2312"/>
          <w:sz w:val="32"/>
          <w:szCs w:val="32"/>
        </w:rPr>
        <w:fldChar w:fldCharType="separate"/>
      </w:r>
      <w:r>
        <w:rPr>
          <w:rFonts w:hint="eastAsia" w:ascii="Nimbus Roman No9 L" w:hAnsi="Nimbus Roman No9 L" w:eastAsia="仿宋_GB2312" w:cs="仿宋_GB2312"/>
          <w:sz w:val="32"/>
          <w:szCs w:val="32"/>
        </w:rPr>
        <w:t>- 19 -</w:t>
      </w:r>
      <w:r>
        <w:rPr>
          <w:rFonts w:hint="eastAsia" w:ascii="Nimbus Roman No9 L" w:hAnsi="Nimbus Roman No9 L" w:eastAsia="仿宋_GB2312" w:cs="仿宋_GB2312"/>
          <w:sz w:val="32"/>
          <w:szCs w:val="32"/>
        </w:rPr>
        <w:fldChar w:fldCharType="end"/>
      </w:r>
      <w:r>
        <w:rPr>
          <w:rFonts w:hint="eastAsia" w:ascii="Nimbus Roman No9 L" w:hAnsi="Nimbus Roman No9 L" w:eastAsia="仿宋_GB2312" w:cs="仿宋_GB2312"/>
          <w:sz w:val="32"/>
          <w:szCs w:val="32"/>
          <w:lang w:eastAsia="zh-CN"/>
        </w:rPr>
        <w:fldChar w:fldCharType="end"/>
      </w:r>
    </w:p>
    <w:p w14:paraId="217723B9">
      <w:pPr>
        <w:pStyle w:val="5"/>
        <w:tabs>
          <w:tab w:val="right" w:leader="dot" w:pos="8845"/>
        </w:tabs>
        <w:rPr>
          <w:rFonts w:hint="eastAsia" w:ascii="Nimbus Roman No9 L" w:hAnsi="Nimbus Roman No9 L" w:eastAsia="仿宋_GB2312" w:cs="仿宋_GB2312"/>
          <w:sz w:val="32"/>
          <w:szCs w:val="32"/>
        </w:rPr>
      </w:pPr>
      <w:r>
        <w:rPr>
          <w:rFonts w:hint="eastAsia" w:ascii="Nimbus Roman No9 L" w:hAnsi="Nimbus Roman No9 L" w:eastAsia="仿宋_GB2312" w:cs="仿宋_GB2312"/>
          <w:sz w:val="32"/>
          <w:szCs w:val="32"/>
          <w:lang w:eastAsia="zh-CN"/>
        </w:rPr>
        <w:fldChar w:fldCharType="begin"/>
      </w:r>
      <w:r>
        <w:rPr>
          <w:rFonts w:hint="eastAsia" w:ascii="Nimbus Roman No9 L" w:hAnsi="Nimbus Roman No9 L" w:eastAsia="仿宋_GB2312" w:cs="仿宋_GB2312"/>
          <w:sz w:val="32"/>
          <w:szCs w:val="32"/>
          <w:lang w:eastAsia="zh-CN"/>
        </w:rPr>
        <w:instrText xml:space="preserve"> HYPERLINK \l _Toc474431979 </w:instrText>
      </w:r>
      <w:r>
        <w:rPr>
          <w:rFonts w:hint="eastAsia" w:ascii="Nimbus Roman No9 L" w:hAnsi="Nimbus Roman No9 L" w:eastAsia="仿宋_GB2312" w:cs="仿宋_GB2312"/>
          <w:sz w:val="32"/>
          <w:szCs w:val="32"/>
          <w:lang w:eastAsia="zh-CN"/>
        </w:rPr>
        <w:fldChar w:fldCharType="separate"/>
      </w:r>
      <w:r>
        <w:rPr>
          <w:rFonts w:hint="eastAsia" w:ascii="Nimbus Roman No9 L" w:hAnsi="Nimbus Roman No9 L" w:eastAsia="仿宋_GB2312" w:cs="仿宋_GB2312"/>
          <w:sz w:val="32"/>
          <w:szCs w:val="32"/>
          <w:lang w:eastAsia="zh-CN"/>
        </w:rPr>
        <w:t>四、城乡消防安全项目</w:t>
      </w:r>
      <w:r>
        <w:rPr>
          <w:rFonts w:hint="eastAsia" w:ascii="Nimbus Roman No9 L" w:hAnsi="Nimbus Roman No9 L" w:eastAsia="仿宋_GB2312" w:cs="仿宋_GB2312"/>
          <w:sz w:val="32"/>
          <w:szCs w:val="32"/>
        </w:rPr>
        <w:tab/>
      </w:r>
      <w:r>
        <w:rPr>
          <w:rFonts w:hint="eastAsia" w:ascii="Nimbus Roman No9 L" w:hAnsi="Nimbus Roman No9 L" w:eastAsia="仿宋_GB2312" w:cs="仿宋_GB2312"/>
          <w:sz w:val="32"/>
          <w:szCs w:val="32"/>
        </w:rPr>
        <w:fldChar w:fldCharType="begin"/>
      </w:r>
      <w:r>
        <w:rPr>
          <w:rFonts w:hint="eastAsia" w:ascii="Nimbus Roman No9 L" w:hAnsi="Nimbus Roman No9 L" w:eastAsia="仿宋_GB2312" w:cs="仿宋_GB2312"/>
          <w:sz w:val="32"/>
          <w:szCs w:val="32"/>
        </w:rPr>
        <w:instrText xml:space="preserve"> PAGEREF _Toc474431979 </w:instrText>
      </w:r>
      <w:r>
        <w:rPr>
          <w:rFonts w:hint="eastAsia" w:ascii="Nimbus Roman No9 L" w:hAnsi="Nimbus Roman No9 L" w:eastAsia="仿宋_GB2312" w:cs="仿宋_GB2312"/>
          <w:sz w:val="32"/>
          <w:szCs w:val="32"/>
        </w:rPr>
        <w:fldChar w:fldCharType="separate"/>
      </w:r>
      <w:r>
        <w:rPr>
          <w:rFonts w:hint="eastAsia" w:ascii="Nimbus Roman No9 L" w:hAnsi="Nimbus Roman No9 L" w:eastAsia="仿宋_GB2312" w:cs="仿宋_GB2312"/>
          <w:sz w:val="32"/>
          <w:szCs w:val="32"/>
        </w:rPr>
        <w:t>- 24 -</w:t>
      </w:r>
      <w:r>
        <w:rPr>
          <w:rFonts w:hint="eastAsia" w:ascii="Nimbus Roman No9 L" w:hAnsi="Nimbus Roman No9 L" w:eastAsia="仿宋_GB2312" w:cs="仿宋_GB2312"/>
          <w:sz w:val="32"/>
          <w:szCs w:val="32"/>
        </w:rPr>
        <w:fldChar w:fldCharType="end"/>
      </w:r>
      <w:r>
        <w:rPr>
          <w:rFonts w:hint="eastAsia" w:ascii="Nimbus Roman No9 L" w:hAnsi="Nimbus Roman No9 L" w:eastAsia="仿宋_GB2312" w:cs="仿宋_GB2312"/>
          <w:sz w:val="32"/>
          <w:szCs w:val="32"/>
          <w:lang w:eastAsia="zh-CN"/>
        </w:rPr>
        <w:fldChar w:fldCharType="end"/>
      </w:r>
    </w:p>
    <w:p w14:paraId="1398B370">
      <w:pPr>
        <w:pStyle w:val="5"/>
        <w:tabs>
          <w:tab w:val="right" w:leader="dot" w:pos="8845"/>
        </w:tabs>
        <w:rPr>
          <w:rFonts w:hint="eastAsia" w:ascii="Nimbus Roman No9 L" w:hAnsi="Nimbus Roman No9 L" w:eastAsia="仿宋_GB2312" w:cs="仿宋_GB2312"/>
          <w:sz w:val="32"/>
          <w:szCs w:val="32"/>
        </w:rPr>
      </w:pPr>
      <w:r>
        <w:rPr>
          <w:rFonts w:hint="eastAsia" w:ascii="Nimbus Roman No9 L" w:hAnsi="Nimbus Roman No9 L" w:eastAsia="仿宋_GB2312" w:cs="仿宋_GB2312"/>
          <w:sz w:val="32"/>
          <w:szCs w:val="32"/>
          <w:lang w:eastAsia="zh-CN"/>
        </w:rPr>
        <w:fldChar w:fldCharType="begin"/>
      </w:r>
      <w:r>
        <w:rPr>
          <w:rFonts w:hint="eastAsia" w:ascii="Nimbus Roman No9 L" w:hAnsi="Nimbus Roman No9 L" w:eastAsia="仿宋_GB2312" w:cs="仿宋_GB2312"/>
          <w:sz w:val="32"/>
          <w:szCs w:val="32"/>
          <w:lang w:eastAsia="zh-CN"/>
        </w:rPr>
        <w:instrText xml:space="preserve"> HYPERLINK \l _Toc1532039533 </w:instrText>
      </w:r>
      <w:r>
        <w:rPr>
          <w:rFonts w:hint="eastAsia" w:ascii="Nimbus Roman No9 L" w:hAnsi="Nimbus Roman No9 L" w:eastAsia="仿宋_GB2312" w:cs="仿宋_GB2312"/>
          <w:sz w:val="32"/>
          <w:szCs w:val="32"/>
          <w:lang w:eastAsia="zh-CN"/>
        </w:rPr>
        <w:fldChar w:fldCharType="separate"/>
      </w:r>
      <w:r>
        <w:rPr>
          <w:rFonts w:hint="eastAsia" w:ascii="Nimbus Roman No9 L" w:hAnsi="Nimbus Roman No9 L" w:eastAsia="仿宋_GB2312" w:cs="仿宋_GB2312"/>
          <w:sz w:val="32"/>
          <w:szCs w:val="32"/>
          <w:lang w:eastAsia="zh-CN"/>
        </w:rPr>
        <w:t>五、海洋油气与新能源工程安全项目</w:t>
      </w:r>
      <w:r>
        <w:rPr>
          <w:rFonts w:hint="eastAsia" w:ascii="Nimbus Roman No9 L" w:hAnsi="Nimbus Roman No9 L" w:eastAsia="仿宋_GB2312" w:cs="仿宋_GB2312"/>
          <w:sz w:val="32"/>
          <w:szCs w:val="32"/>
        </w:rPr>
        <w:tab/>
      </w:r>
      <w:r>
        <w:rPr>
          <w:rFonts w:hint="eastAsia" w:ascii="Nimbus Roman No9 L" w:hAnsi="Nimbus Roman No9 L" w:eastAsia="仿宋_GB2312" w:cs="仿宋_GB2312"/>
          <w:sz w:val="32"/>
          <w:szCs w:val="32"/>
        </w:rPr>
        <w:fldChar w:fldCharType="begin"/>
      </w:r>
      <w:r>
        <w:rPr>
          <w:rFonts w:hint="eastAsia" w:ascii="Nimbus Roman No9 L" w:hAnsi="Nimbus Roman No9 L" w:eastAsia="仿宋_GB2312" w:cs="仿宋_GB2312"/>
          <w:sz w:val="32"/>
          <w:szCs w:val="32"/>
        </w:rPr>
        <w:instrText xml:space="preserve"> PAGEREF _Toc1532039533 </w:instrText>
      </w:r>
      <w:r>
        <w:rPr>
          <w:rFonts w:hint="eastAsia" w:ascii="Nimbus Roman No9 L" w:hAnsi="Nimbus Roman No9 L" w:eastAsia="仿宋_GB2312" w:cs="仿宋_GB2312"/>
          <w:sz w:val="32"/>
          <w:szCs w:val="32"/>
        </w:rPr>
        <w:fldChar w:fldCharType="separate"/>
      </w:r>
      <w:r>
        <w:rPr>
          <w:rFonts w:hint="eastAsia" w:ascii="Nimbus Roman No9 L" w:hAnsi="Nimbus Roman No9 L" w:eastAsia="仿宋_GB2312" w:cs="仿宋_GB2312"/>
          <w:sz w:val="32"/>
          <w:szCs w:val="32"/>
        </w:rPr>
        <w:t>- 27 -</w:t>
      </w:r>
      <w:r>
        <w:rPr>
          <w:rFonts w:hint="eastAsia" w:ascii="Nimbus Roman No9 L" w:hAnsi="Nimbus Roman No9 L" w:eastAsia="仿宋_GB2312" w:cs="仿宋_GB2312"/>
          <w:sz w:val="32"/>
          <w:szCs w:val="32"/>
        </w:rPr>
        <w:fldChar w:fldCharType="end"/>
      </w:r>
      <w:r>
        <w:rPr>
          <w:rFonts w:hint="eastAsia" w:ascii="Nimbus Roman No9 L" w:hAnsi="Nimbus Roman No9 L" w:eastAsia="仿宋_GB2312" w:cs="仿宋_GB2312"/>
          <w:sz w:val="32"/>
          <w:szCs w:val="32"/>
          <w:lang w:eastAsia="zh-CN"/>
        </w:rPr>
        <w:fldChar w:fldCharType="end"/>
      </w:r>
    </w:p>
    <w:p w14:paraId="2FFD1108">
      <w:pPr>
        <w:pStyle w:val="5"/>
        <w:tabs>
          <w:tab w:val="right" w:leader="dot" w:pos="8845"/>
        </w:tabs>
        <w:rPr>
          <w:rFonts w:hint="eastAsia" w:ascii="Nimbus Roman No9 L" w:hAnsi="Nimbus Roman No9 L" w:eastAsia="仿宋_GB2312" w:cs="仿宋_GB2312"/>
          <w:sz w:val="32"/>
          <w:szCs w:val="32"/>
        </w:rPr>
      </w:pPr>
      <w:r>
        <w:rPr>
          <w:rFonts w:hint="eastAsia" w:ascii="Nimbus Roman No9 L" w:hAnsi="Nimbus Roman No9 L" w:eastAsia="仿宋_GB2312" w:cs="仿宋_GB2312"/>
          <w:sz w:val="32"/>
          <w:szCs w:val="32"/>
          <w:lang w:eastAsia="zh-CN"/>
        </w:rPr>
        <w:fldChar w:fldCharType="begin"/>
      </w:r>
      <w:r>
        <w:rPr>
          <w:rFonts w:hint="eastAsia" w:ascii="Nimbus Roman No9 L" w:hAnsi="Nimbus Roman No9 L" w:eastAsia="仿宋_GB2312" w:cs="仿宋_GB2312"/>
          <w:sz w:val="32"/>
          <w:szCs w:val="32"/>
          <w:lang w:eastAsia="zh-CN"/>
        </w:rPr>
        <w:instrText xml:space="preserve"> HYPERLINK \l _Toc1493991025 </w:instrText>
      </w:r>
      <w:r>
        <w:rPr>
          <w:rFonts w:hint="eastAsia" w:ascii="Nimbus Roman No9 L" w:hAnsi="Nimbus Roman No9 L" w:eastAsia="仿宋_GB2312" w:cs="仿宋_GB2312"/>
          <w:sz w:val="32"/>
          <w:szCs w:val="32"/>
          <w:lang w:eastAsia="zh-CN"/>
        </w:rPr>
        <w:fldChar w:fldCharType="separate"/>
      </w:r>
      <w:r>
        <w:rPr>
          <w:rFonts w:hint="eastAsia" w:ascii="Nimbus Roman No9 L" w:hAnsi="Nimbus Roman No9 L" w:eastAsia="仿宋_GB2312" w:cs="仿宋_GB2312"/>
          <w:sz w:val="32"/>
          <w:szCs w:val="32"/>
          <w:lang w:eastAsia="zh-CN"/>
        </w:rPr>
        <w:t>六、体外诊断安全及检验医学项目</w:t>
      </w:r>
      <w:r>
        <w:rPr>
          <w:rFonts w:hint="eastAsia" w:ascii="Nimbus Roman No9 L" w:hAnsi="Nimbus Roman No9 L" w:eastAsia="仿宋_GB2312" w:cs="仿宋_GB2312"/>
          <w:sz w:val="32"/>
          <w:szCs w:val="32"/>
        </w:rPr>
        <w:tab/>
      </w:r>
      <w:r>
        <w:rPr>
          <w:rFonts w:hint="eastAsia" w:ascii="Nimbus Roman No9 L" w:hAnsi="Nimbus Roman No9 L" w:eastAsia="仿宋_GB2312" w:cs="仿宋_GB2312"/>
          <w:sz w:val="32"/>
          <w:szCs w:val="32"/>
        </w:rPr>
        <w:fldChar w:fldCharType="begin"/>
      </w:r>
      <w:r>
        <w:rPr>
          <w:rFonts w:hint="eastAsia" w:ascii="Nimbus Roman No9 L" w:hAnsi="Nimbus Roman No9 L" w:eastAsia="仿宋_GB2312" w:cs="仿宋_GB2312"/>
          <w:sz w:val="32"/>
          <w:szCs w:val="32"/>
        </w:rPr>
        <w:instrText xml:space="preserve"> PAGEREF _Toc1493991025 </w:instrText>
      </w:r>
      <w:r>
        <w:rPr>
          <w:rFonts w:hint="eastAsia" w:ascii="Nimbus Roman No9 L" w:hAnsi="Nimbus Roman No9 L" w:eastAsia="仿宋_GB2312" w:cs="仿宋_GB2312"/>
          <w:sz w:val="32"/>
          <w:szCs w:val="32"/>
        </w:rPr>
        <w:fldChar w:fldCharType="separate"/>
      </w:r>
      <w:r>
        <w:rPr>
          <w:rFonts w:hint="eastAsia" w:ascii="Nimbus Roman No9 L" w:hAnsi="Nimbus Roman No9 L" w:eastAsia="仿宋_GB2312" w:cs="仿宋_GB2312"/>
          <w:sz w:val="32"/>
          <w:szCs w:val="32"/>
        </w:rPr>
        <w:t>- 36 -</w:t>
      </w:r>
      <w:r>
        <w:rPr>
          <w:rFonts w:hint="eastAsia" w:ascii="Nimbus Roman No9 L" w:hAnsi="Nimbus Roman No9 L" w:eastAsia="仿宋_GB2312" w:cs="仿宋_GB2312"/>
          <w:sz w:val="32"/>
          <w:szCs w:val="32"/>
        </w:rPr>
        <w:fldChar w:fldCharType="end"/>
      </w:r>
      <w:r>
        <w:rPr>
          <w:rFonts w:hint="eastAsia" w:ascii="Nimbus Roman No9 L" w:hAnsi="Nimbus Roman No9 L" w:eastAsia="仿宋_GB2312" w:cs="仿宋_GB2312"/>
          <w:sz w:val="32"/>
          <w:szCs w:val="32"/>
          <w:lang w:eastAsia="zh-CN"/>
        </w:rPr>
        <w:fldChar w:fldCharType="end"/>
      </w:r>
    </w:p>
    <w:p w14:paraId="3F78B6AC">
      <w:pPr>
        <w:pStyle w:val="2"/>
        <w:rPr>
          <w:rFonts w:hint="eastAsia" w:ascii="Nimbus Roman No9 L" w:hAnsi="Nimbus Roman No9 L"/>
          <w:lang w:eastAsia="zh-CN"/>
        </w:rPr>
      </w:pPr>
      <w:r>
        <w:rPr>
          <w:rFonts w:hint="eastAsia" w:ascii="Nimbus Roman No9 L" w:hAnsi="Nimbus Roman No9 L" w:eastAsia="仿宋_GB2312" w:cs="仿宋_GB2312"/>
          <w:sz w:val="32"/>
          <w:szCs w:val="32"/>
          <w:lang w:eastAsia="zh-CN"/>
        </w:rPr>
        <w:fldChar w:fldCharType="end"/>
      </w:r>
    </w:p>
    <w:p w14:paraId="3275F1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黑体" w:cs="黑体"/>
          <w:b w:val="0"/>
          <w:bCs w:val="0"/>
          <w:color w:val="auto"/>
          <w:sz w:val="32"/>
          <w:szCs w:val="32"/>
          <w:lang w:eastAsia="zh-CN"/>
        </w:rPr>
      </w:pPr>
    </w:p>
    <w:p w14:paraId="4EC12C1A">
      <w:pPr>
        <w:pStyle w:val="2"/>
        <w:rPr>
          <w:rFonts w:hint="eastAsia" w:ascii="Nimbus Roman No9 L" w:hAnsi="Nimbus Roman No9 L" w:eastAsia="黑体" w:cs="黑体"/>
          <w:b w:val="0"/>
          <w:bCs w:val="0"/>
          <w:color w:val="auto"/>
          <w:sz w:val="32"/>
          <w:szCs w:val="32"/>
          <w:lang w:eastAsia="zh-CN"/>
        </w:rPr>
      </w:pPr>
    </w:p>
    <w:p w14:paraId="0A37DE35">
      <w:pPr>
        <w:rPr>
          <w:rFonts w:hint="eastAsia" w:ascii="Nimbus Roman No9 L" w:hAnsi="Nimbus Roman No9 L" w:eastAsia="黑体" w:cs="黑体"/>
          <w:b w:val="0"/>
          <w:bCs w:val="0"/>
          <w:color w:val="auto"/>
          <w:sz w:val="32"/>
          <w:szCs w:val="32"/>
          <w:lang w:eastAsia="zh-CN"/>
        </w:rPr>
      </w:pPr>
    </w:p>
    <w:p w14:paraId="623249C4">
      <w:pPr>
        <w:pStyle w:val="2"/>
        <w:rPr>
          <w:rFonts w:hint="eastAsia" w:ascii="Nimbus Roman No9 L" w:hAnsi="Nimbus Roman No9 L" w:eastAsia="黑体" w:cs="黑体"/>
          <w:b w:val="0"/>
          <w:bCs w:val="0"/>
          <w:color w:val="auto"/>
          <w:sz w:val="32"/>
          <w:szCs w:val="32"/>
          <w:lang w:eastAsia="zh-CN"/>
        </w:rPr>
      </w:pPr>
    </w:p>
    <w:p w14:paraId="76551BEF">
      <w:pPr>
        <w:rPr>
          <w:rFonts w:hint="eastAsia" w:ascii="Nimbus Roman No9 L" w:hAnsi="Nimbus Roman No9 L" w:eastAsia="黑体" w:cs="黑体"/>
          <w:b w:val="0"/>
          <w:bCs w:val="0"/>
          <w:color w:val="auto"/>
          <w:sz w:val="32"/>
          <w:szCs w:val="32"/>
          <w:lang w:eastAsia="zh-CN"/>
        </w:rPr>
      </w:pPr>
    </w:p>
    <w:p w14:paraId="7101A9F8">
      <w:pPr>
        <w:pStyle w:val="2"/>
        <w:rPr>
          <w:rFonts w:hint="eastAsia" w:ascii="Nimbus Roman No9 L" w:hAnsi="Nimbus Roman No9 L"/>
          <w:lang w:eastAsia="zh-CN"/>
        </w:rPr>
      </w:pPr>
    </w:p>
    <w:p w14:paraId="6C96F772">
      <w:pPr>
        <w:pStyle w:val="2"/>
        <w:rPr>
          <w:rFonts w:hint="eastAsia" w:ascii="Nimbus Roman No9 L" w:hAnsi="Nimbus Roman No9 L" w:eastAsia="黑体" w:cs="黑体"/>
          <w:b w:val="0"/>
          <w:bCs w:val="0"/>
          <w:color w:val="auto"/>
          <w:sz w:val="32"/>
          <w:szCs w:val="32"/>
          <w:lang w:eastAsia="zh-CN"/>
        </w:rPr>
      </w:pPr>
    </w:p>
    <w:p w14:paraId="1D9636E9">
      <w:pPr>
        <w:pStyle w:val="9"/>
        <w:bidi w:val="0"/>
        <w:rPr>
          <w:rFonts w:hint="eastAsia" w:ascii="Nimbus Roman No9 L" w:hAnsi="Nimbus Roman No9 L"/>
          <w:lang w:eastAsia="zh-CN"/>
        </w:rPr>
      </w:pPr>
      <w:bookmarkStart w:id="0" w:name="_Toc1918812793"/>
      <w:r>
        <w:rPr>
          <w:rFonts w:hint="eastAsia" w:ascii="Nimbus Roman No9 L" w:hAnsi="Nimbus Roman No9 L"/>
          <w:lang w:eastAsia="zh-CN"/>
        </w:rPr>
        <w:t>一、天津市自然科学基金联合基金-中海油服海洋能源高技术服务项目</w:t>
      </w:r>
      <w:bookmarkEnd w:id="0"/>
    </w:p>
    <w:p w14:paraId="4F19D7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Nimbus Roman No9 L" w:hAnsi="Nimbus Roman No9 L" w:eastAsia="楷体_GB2312" w:cs="楷体_GB2312"/>
          <w:b w:val="0"/>
          <w:bCs w:val="0"/>
          <w:color w:val="auto"/>
          <w:sz w:val="32"/>
          <w:szCs w:val="32"/>
          <w:highlight w:val="none"/>
        </w:rPr>
      </w:pPr>
      <w:r>
        <w:rPr>
          <w:rFonts w:hint="eastAsia" w:ascii="Nimbus Roman No9 L" w:hAnsi="Nimbus Roman No9 L" w:eastAsia="楷体_GB2312" w:cs="楷体_GB2312"/>
          <w:b w:val="0"/>
          <w:bCs w:val="0"/>
          <w:color w:val="auto"/>
          <w:sz w:val="32"/>
          <w:szCs w:val="32"/>
          <w:highlight w:val="none"/>
          <w:lang w:val="en-US" w:eastAsia="zh-CN"/>
        </w:rPr>
        <w:t>1.</w:t>
      </w:r>
      <w:r>
        <w:rPr>
          <w:rFonts w:hint="eastAsia" w:ascii="Nimbus Roman No9 L" w:hAnsi="Nimbus Roman No9 L" w:eastAsia="楷体_GB2312" w:cs="楷体_GB2312"/>
          <w:b w:val="0"/>
          <w:bCs w:val="0"/>
          <w:i w:val="0"/>
          <w:strike w:val="0"/>
          <w:color w:val="auto"/>
          <w:sz w:val="32"/>
          <w:szCs w:val="32"/>
          <w:highlight w:val="none"/>
          <w:u w:val="none"/>
        </w:rPr>
        <w:t>研究目标</w:t>
      </w:r>
    </w:p>
    <w:p w14:paraId="5ED535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 w:eastAsia="zh-CN"/>
        </w:rPr>
      </w:pPr>
      <w:r>
        <w:rPr>
          <w:rFonts w:hint="eastAsia" w:ascii="Nimbus Roman No9 L" w:hAnsi="Nimbus Roman No9 L" w:eastAsia="仿宋_GB2312" w:cs="仿宋_GB2312"/>
          <w:b w:val="0"/>
          <w:bCs w:val="0"/>
          <w:color w:val="auto"/>
          <w:sz w:val="32"/>
          <w:szCs w:val="32"/>
        </w:rPr>
        <w:t>面向渤海油气资源高效开发战略需求，针对</w:t>
      </w:r>
      <w:r>
        <w:rPr>
          <w:rFonts w:hint="eastAsia" w:ascii="Nimbus Roman No9 L" w:hAnsi="Nimbus Roman No9 L" w:eastAsia="仿宋_GB2312" w:cs="仿宋_GB2312"/>
          <w:b w:val="0"/>
          <w:bCs w:val="0"/>
          <w:color w:val="auto"/>
          <w:sz w:val="32"/>
          <w:szCs w:val="32"/>
          <w:lang w:eastAsia="zh-CN"/>
        </w:rPr>
        <w:t>超</w:t>
      </w:r>
      <w:r>
        <w:rPr>
          <w:rFonts w:hint="eastAsia" w:ascii="Nimbus Roman No9 L" w:hAnsi="Nimbus Roman No9 L" w:eastAsia="仿宋_GB2312" w:cs="仿宋_GB2312"/>
          <w:b w:val="0"/>
          <w:bCs w:val="0"/>
          <w:color w:val="auto"/>
          <w:sz w:val="32"/>
          <w:szCs w:val="32"/>
        </w:rPr>
        <w:t>深层和非常规油气资源的勘探开发领域关键基础科学与技术问题</w:t>
      </w:r>
      <w:r>
        <w:rPr>
          <w:rFonts w:hint="eastAsia" w:ascii="Nimbus Roman No9 L" w:hAnsi="Nimbus Roman No9 L" w:eastAsia="仿宋_GB2312" w:cs="仿宋_GB2312"/>
          <w:b w:val="0"/>
          <w:bCs w:val="0"/>
          <w:color w:val="auto"/>
          <w:sz w:val="32"/>
          <w:szCs w:val="32"/>
          <w:lang w:eastAsia="zh-CN"/>
        </w:rPr>
        <w:t>，</w:t>
      </w:r>
      <w:r>
        <w:rPr>
          <w:rFonts w:hint="eastAsia" w:ascii="Nimbus Roman No9 L" w:hAnsi="Nimbus Roman No9 L" w:eastAsia="仿宋_GB2312" w:cs="仿宋_GB2312"/>
          <w:b w:val="0"/>
          <w:bCs w:val="0"/>
          <w:color w:val="auto"/>
          <w:sz w:val="32"/>
          <w:szCs w:val="32"/>
        </w:rPr>
        <w:t>通过高分子化学、胶体与界面化学</w:t>
      </w:r>
      <w:r>
        <w:rPr>
          <w:rFonts w:hint="eastAsia" w:ascii="Nimbus Roman No9 L" w:hAnsi="Nimbus Roman No9 L" w:eastAsia="仿宋_GB2312" w:cs="仿宋_GB2312"/>
          <w:b w:val="0"/>
          <w:bCs w:val="0"/>
          <w:color w:val="auto"/>
          <w:sz w:val="32"/>
          <w:szCs w:val="32"/>
          <w:lang w:eastAsia="zh-CN"/>
        </w:rPr>
        <w:t>、岩石与渗流力学、计算数学、大数据、人工智能的</w:t>
      </w:r>
      <w:r>
        <w:rPr>
          <w:rFonts w:hint="eastAsia" w:ascii="Nimbus Roman No9 L" w:hAnsi="Nimbus Roman No9 L" w:eastAsia="仿宋_GB2312" w:cs="仿宋_GB2312"/>
          <w:b w:val="0"/>
          <w:bCs w:val="0"/>
          <w:color w:val="auto"/>
          <w:sz w:val="32"/>
          <w:szCs w:val="32"/>
        </w:rPr>
        <w:t>交叉融合</w:t>
      </w:r>
      <w:r>
        <w:rPr>
          <w:rFonts w:hint="eastAsia" w:ascii="Nimbus Roman No9 L" w:hAnsi="Nimbus Roman No9 L" w:eastAsia="仿宋_GB2312" w:cs="仿宋_GB2312"/>
          <w:b w:val="0"/>
          <w:bCs w:val="0"/>
          <w:color w:val="auto"/>
          <w:sz w:val="32"/>
          <w:szCs w:val="32"/>
          <w:lang w:eastAsia="zh-CN"/>
        </w:rPr>
        <w:t>，聚焦从微观到宏观的跨尺度效应，建立多尺度模型，阐明相关机理，重点突破智能响应型高分子材料的耐高温高压性能瓶颈，</w:t>
      </w:r>
      <w:r>
        <w:rPr>
          <w:rFonts w:hint="eastAsia" w:ascii="Nimbus Roman No9 L" w:hAnsi="Nimbus Roman No9 L" w:eastAsia="仿宋_GB2312" w:cs="仿宋_GB2312"/>
          <w:b w:val="0"/>
          <w:bCs w:val="0"/>
          <w:color w:val="auto"/>
          <w:sz w:val="32"/>
          <w:szCs w:val="32"/>
          <w:lang w:val="en" w:eastAsia="zh-CN"/>
        </w:rPr>
        <w:t>形成从数据采集、处理、成像到解释的全链条创新体系，为渤海油田深层油气资源勘探开发提供原创性理论支撑和核心技术保障。</w:t>
      </w:r>
    </w:p>
    <w:p w14:paraId="55FCCA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拟支持重点项目5项，其中重点项目（50万元）2项；面上项目10项；青年项目1项。本专项成果知识产权由出资方与项目承担单位共享，共为权利人。</w:t>
      </w:r>
    </w:p>
    <w:p w14:paraId="520844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Nimbus Roman No9 L" w:hAnsi="Nimbus Roman No9 L" w:eastAsia="楷体_GB2312" w:cs="楷体_GB2312"/>
          <w:b w:val="0"/>
          <w:bCs w:val="0"/>
          <w:color w:val="auto"/>
          <w:sz w:val="32"/>
          <w:szCs w:val="32"/>
          <w:highlight w:val="none"/>
          <w:lang w:val="en-US" w:eastAsia="zh-CN"/>
        </w:rPr>
      </w:pPr>
      <w:r>
        <w:rPr>
          <w:rFonts w:hint="eastAsia" w:ascii="Nimbus Roman No9 L" w:hAnsi="Nimbus Roman No9 L" w:eastAsia="楷体_GB2312" w:cs="楷体_GB2312"/>
          <w:b w:val="0"/>
          <w:bCs w:val="0"/>
          <w:color w:val="auto"/>
          <w:sz w:val="32"/>
          <w:szCs w:val="32"/>
          <w:highlight w:val="none"/>
          <w:lang w:val="en-US" w:eastAsia="zh-CN"/>
        </w:rPr>
        <w:t>2.重点资助内容</w:t>
      </w:r>
    </w:p>
    <w:p w14:paraId="46C9988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Nimbus Roman No9 L" w:hAnsi="Nimbus Roman No9 L" w:eastAsia="仿宋_GB2312" w:cs="仿宋_GB2312"/>
          <w:b/>
          <w:bCs/>
          <w:color w:val="auto"/>
          <w:sz w:val="32"/>
          <w:szCs w:val="32"/>
          <w:lang w:val="en-US" w:eastAsia="zh-CN"/>
        </w:rPr>
      </w:pPr>
      <w:r>
        <w:rPr>
          <w:rFonts w:hint="eastAsia" w:ascii="Nimbus Roman No9 L" w:hAnsi="Nimbus Roman No9 L" w:eastAsia="仿宋_GB2312" w:cs="仿宋_GB2312"/>
          <w:b/>
          <w:bCs/>
          <w:color w:val="auto"/>
          <w:sz w:val="32"/>
          <w:szCs w:val="32"/>
          <w:lang w:val="en-US" w:eastAsia="zh-CN"/>
        </w:rPr>
        <w:t>2.1重点项目</w:t>
      </w:r>
    </w:p>
    <w:p w14:paraId="38C30B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lang w:val="en-US" w:eastAsia="zh-CN"/>
        </w:rPr>
        <w:t>D01</w:t>
      </w:r>
      <w:r>
        <w:rPr>
          <w:rFonts w:hint="eastAsia" w:ascii="Nimbus Roman No9 L" w:hAnsi="Nimbus Roman No9 L" w:eastAsia="仿宋_GB2312" w:cs="仿宋_GB2312"/>
          <w:b w:val="0"/>
          <w:bCs w:val="0"/>
          <w:color w:val="auto"/>
          <w:sz w:val="32"/>
          <w:szCs w:val="32"/>
        </w:rPr>
        <w:t>微声频段井孔非轴对称声场及高分辨率智能成像方法研究（重点项目（50万元））</w:t>
      </w:r>
    </w:p>
    <w:p w14:paraId="3F3E36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rPr>
        <w:t>针对双层套管固井质量评价以及井周地层裂缝形态</w:t>
      </w:r>
      <w:r>
        <w:rPr>
          <w:rFonts w:hint="eastAsia" w:ascii="Nimbus Roman No9 L" w:hAnsi="Nimbus Roman No9 L" w:eastAsia="仿宋_GB2312" w:cs="仿宋_GB2312"/>
          <w:b w:val="0"/>
          <w:bCs w:val="0"/>
          <w:color w:val="auto"/>
          <w:sz w:val="32"/>
          <w:szCs w:val="32"/>
          <w:lang w:eastAsia="zh-CN"/>
        </w:rPr>
        <w:t>刻画</w:t>
      </w:r>
      <w:r>
        <w:rPr>
          <w:rFonts w:hint="eastAsia" w:ascii="Nimbus Roman No9 L" w:hAnsi="Nimbus Roman No9 L" w:eastAsia="仿宋_GB2312" w:cs="仿宋_GB2312"/>
          <w:b w:val="0"/>
          <w:bCs w:val="0"/>
          <w:color w:val="auto"/>
          <w:sz w:val="32"/>
          <w:szCs w:val="32"/>
        </w:rPr>
        <w:t>等难题，发展微声频段井孔声场理论，建立多层流固耦合柱状波导非轴对称声场计算模型；揭示复杂地层环境下声场散射以及模态转换机理，提出基于监督下降法的快速全波形反演成像方法，实现高分辨率井周</w:t>
      </w:r>
      <w:r>
        <w:rPr>
          <w:rFonts w:hint="eastAsia" w:ascii="Nimbus Roman No9 L" w:hAnsi="Nimbus Roman No9 L" w:eastAsia="仿宋_GB2312" w:cs="仿宋_GB2312"/>
          <w:b w:val="0"/>
          <w:bCs w:val="0"/>
          <w:color w:val="auto"/>
          <w:sz w:val="32"/>
          <w:szCs w:val="32"/>
          <w:lang w:eastAsia="zh-CN"/>
        </w:rPr>
        <w:t>固井水泥环与底层</w:t>
      </w:r>
      <w:r>
        <w:rPr>
          <w:rFonts w:hint="eastAsia" w:ascii="Nimbus Roman No9 L" w:hAnsi="Nimbus Roman No9 L" w:eastAsia="仿宋_GB2312" w:cs="仿宋_GB2312"/>
          <w:b w:val="0"/>
          <w:bCs w:val="0"/>
          <w:color w:val="auto"/>
          <w:sz w:val="32"/>
          <w:szCs w:val="32"/>
        </w:rPr>
        <w:t>智能成像；建立测井图像与断层、裂缝等反射体以及流体分布、岩性变化等识别特征的映射关系，评价井周小尺度地质构造、识别储层和监测裂缝发育情况。</w:t>
      </w:r>
    </w:p>
    <w:p w14:paraId="28DCC248">
      <w:pPr>
        <w:keepNext w:val="0"/>
        <w:keepLines w:val="0"/>
        <w:pageBreakBefore w:val="0"/>
        <w:widowControl w:val="0"/>
        <w:numPr>
          <w:ilvl w:val="0"/>
          <w:numId w:val="0"/>
        </w:numPr>
        <w:tabs>
          <w:tab w:val="left" w:pos="142"/>
        </w:tabs>
        <w:kinsoku/>
        <w:wordWrap/>
        <w:overflowPunct/>
        <w:topLinePunct w:val="0"/>
        <w:autoSpaceDE/>
        <w:autoSpaceDN/>
        <w:bidi w:val="0"/>
        <w:adjustRightInd/>
        <w:snapToGrid/>
        <w:spacing w:line="560" w:lineRule="exact"/>
        <w:ind w:firstLine="640" w:firstLineChars="200"/>
        <w:jc w:val="left"/>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lang w:val="en-US" w:eastAsia="zh-CN"/>
        </w:rPr>
        <w:t>D02</w:t>
      </w:r>
      <w:r>
        <w:rPr>
          <w:rFonts w:hint="eastAsia" w:ascii="Nimbus Roman No9 L" w:hAnsi="Nimbus Roman No9 L" w:eastAsia="仿宋_GB2312" w:cs="仿宋_GB2312"/>
          <w:b w:val="0"/>
          <w:bCs w:val="0"/>
          <w:color w:val="auto"/>
          <w:sz w:val="32"/>
          <w:szCs w:val="32"/>
        </w:rPr>
        <w:t>微观交叉裂隙三维渗流过程及分流机理（重点（50万元））</w:t>
      </w:r>
    </w:p>
    <w:p w14:paraId="6576F4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rPr>
        <w:t>针对油气藏储层环境中交叉裂隙渗流过程表征及其分流通量预测的瓶颈问题，聚焦高压梯度条件下交叉裂隙内渗流特征，研究微观渗流速度场的高精度测量方法，结合微观粒子图像测速技术，重构裂隙交汇口三维流体动力结构；分析压力梯度对交叉裂隙中非线性渗流和分流机制的影响；揭示高压梯度条件下交叉裂隙非线性渗流和分流机理，构建交叉裂隙渗流数学模型，完善裂隙-基质型双重介质渗流模拟方法，为压裂缝网控制下流体渗流规律表征提供理论支撑。</w:t>
      </w:r>
    </w:p>
    <w:p w14:paraId="7B8388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lang w:val="en-US" w:eastAsia="zh-CN"/>
        </w:rPr>
        <w:t>D03</w:t>
      </w:r>
      <w:r>
        <w:rPr>
          <w:rFonts w:hint="eastAsia" w:ascii="Nimbus Roman No9 L" w:hAnsi="Nimbus Roman No9 L" w:eastAsia="仿宋_GB2312" w:cs="仿宋_GB2312"/>
          <w:b w:val="0"/>
          <w:bCs w:val="0"/>
          <w:color w:val="auto"/>
          <w:sz w:val="32"/>
          <w:szCs w:val="32"/>
        </w:rPr>
        <w:t>高温高压环境下非牛顿流体与高频往复机构流-机强耦合机理及力矩反转演化规律</w:t>
      </w:r>
    </w:p>
    <w:p w14:paraId="429B29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rPr>
        <w:t>针对高温高压下井下涡轮发电机流体动能的主动利用与复杂扰动的精准抑制问题，基于流场仿真与系统辨识相结合的方法，建立深度探测工况下的粘压/粘温流体力矩精确模型。针对涡轮供电特性，研发高阶扩张状态观测器，将流体负载突变、母线电压跌落及磁体退磁等因素归结为总扰动进行实时预测。提出基于滑模控制或模型预测控制的非线性算法，解决电机在往复运动换向点的速度零交叉死区问题。通过研发力矩自适应前馈技术，揭示力矩反转演化规律，降低泥浆排量波动极端工况下的压力波形畸变率，为200℃及以上高温脉冲发生器的高可靠运行奠定基础。</w:t>
      </w:r>
    </w:p>
    <w:p w14:paraId="120660F4">
      <w:pPr>
        <w:keepNext w:val="0"/>
        <w:keepLines w:val="0"/>
        <w:pageBreakBefore w:val="0"/>
        <w:widowControl w:val="0"/>
        <w:numPr>
          <w:ilvl w:val="0"/>
          <w:numId w:val="0"/>
        </w:numPr>
        <w:tabs>
          <w:tab w:val="left" w:pos="142"/>
        </w:tabs>
        <w:kinsoku/>
        <w:wordWrap/>
        <w:overflowPunct/>
        <w:topLinePunct w:val="0"/>
        <w:autoSpaceDE/>
        <w:autoSpaceDN/>
        <w:bidi w:val="0"/>
        <w:adjustRightInd/>
        <w:snapToGrid/>
        <w:spacing w:line="560" w:lineRule="exact"/>
        <w:ind w:firstLine="640" w:firstLineChars="200"/>
        <w:jc w:val="left"/>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lang w:val="en-US" w:eastAsia="zh-CN"/>
        </w:rPr>
        <w:t>D04</w:t>
      </w:r>
      <w:r>
        <w:rPr>
          <w:rFonts w:hint="eastAsia" w:ascii="Nimbus Roman No9 L" w:hAnsi="Nimbus Roman No9 L" w:eastAsia="仿宋_GB2312" w:cs="仿宋_GB2312"/>
          <w:b w:val="0"/>
          <w:bCs w:val="0"/>
          <w:color w:val="auto"/>
          <w:sz w:val="32"/>
          <w:szCs w:val="32"/>
        </w:rPr>
        <w:t>基于数字岩心的CO</w:t>
      </w:r>
      <w:r>
        <w:rPr>
          <w:rFonts w:hint="eastAsia" w:ascii="Nimbus Roman No9 L" w:hAnsi="Nimbus Roman No9 L" w:eastAsia="仿宋_GB2312" w:cs="仿宋_GB2312"/>
          <w:b w:val="0"/>
          <w:bCs w:val="0"/>
          <w:color w:val="auto"/>
          <w:sz w:val="32"/>
          <w:szCs w:val="32"/>
          <w:vertAlign w:val="subscript"/>
        </w:rPr>
        <w:t>2</w:t>
      </w:r>
      <w:r>
        <w:rPr>
          <w:rFonts w:hint="eastAsia" w:ascii="Nimbus Roman No9 L" w:hAnsi="Nimbus Roman No9 L" w:eastAsia="仿宋_GB2312" w:cs="仿宋_GB2312"/>
          <w:b w:val="0"/>
          <w:bCs w:val="0"/>
          <w:color w:val="auto"/>
          <w:sz w:val="32"/>
          <w:szCs w:val="32"/>
        </w:rPr>
        <w:t>封存过程中流体赋存状态与孔隙结构动态响应研究</w:t>
      </w:r>
    </w:p>
    <w:p w14:paraId="4D0E82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rPr>
        <w:t>针对CO</w:t>
      </w:r>
      <w:r>
        <w:rPr>
          <w:rFonts w:hint="eastAsia" w:ascii="Nimbus Roman No9 L" w:hAnsi="Nimbus Roman No9 L" w:eastAsia="仿宋_GB2312" w:cs="仿宋_GB2312"/>
          <w:b w:val="0"/>
          <w:bCs w:val="0"/>
          <w:color w:val="auto"/>
          <w:sz w:val="32"/>
          <w:szCs w:val="32"/>
          <w:vertAlign w:val="subscript"/>
        </w:rPr>
        <w:t>2</w:t>
      </w:r>
      <w:r>
        <w:rPr>
          <w:rFonts w:hint="eastAsia" w:ascii="Nimbus Roman No9 L" w:hAnsi="Nimbus Roman No9 L" w:eastAsia="仿宋_GB2312" w:cs="仿宋_GB2312"/>
          <w:b w:val="0"/>
          <w:bCs w:val="0"/>
          <w:color w:val="auto"/>
          <w:sz w:val="32"/>
          <w:szCs w:val="32"/>
        </w:rPr>
        <w:t>驱替及封存过程中流体赋存状态与孔隙结构动态响应认识不清的问题，基于数字岩心，研究浮力驱动、毛管捕集和粘性指进作用下CO</w:t>
      </w:r>
      <w:r>
        <w:rPr>
          <w:rFonts w:hint="eastAsia" w:ascii="Nimbus Roman No9 L" w:hAnsi="Nimbus Roman No9 L" w:eastAsia="仿宋_GB2312" w:cs="仿宋_GB2312"/>
          <w:b w:val="0"/>
          <w:bCs w:val="0"/>
          <w:color w:val="auto"/>
          <w:sz w:val="32"/>
          <w:szCs w:val="32"/>
          <w:vertAlign w:val="subscript"/>
        </w:rPr>
        <w:t>2</w:t>
      </w:r>
      <w:r>
        <w:rPr>
          <w:rFonts w:hint="eastAsia" w:ascii="Nimbus Roman No9 L" w:hAnsi="Nimbus Roman No9 L" w:eastAsia="仿宋_GB2312" w:cs="仿宋_GB2312"/>
          <w:b w:val="0"/>
          <w:bCs w:val="0"/>
          <w:color w:val="auto"/>
          <w:sz w:val="32"/>
          <w:szCs w:val="32"/>
        </w:rPr>
        <w:t>迁移路径及捕获规律，以及不同温压条件下CO</w:t>
      </w:r>
      <w:r>
        <w:rPr>
          <w:rFonts w:hint="eastAsia" w:ascii="Nimbus Roman No9 L" w:hAnsi="Nimbus Roman No9 L" w:eastAsia="仿宋_GB2312" w:cs="仿宋_GB2312"/>
          <w:b w:val="0"/>
          <w:bCs w:val="0"/>
          <w:color w:val="auto"/>
          <w:sz w:val="32"/>
          <w:szCs w:val="32"/>
          <w:vertAlign w:val="subscript"/>
        </w:rPr>
        <w:t>2</w:t>
      </w:r>
      <w:r>
        <w:rPr>
          <w:rFonts w:hint="eastAsia" w:ascii="Nimbus Roman No9 L" w:hAnsi="Nimbus Roman No9 L" w:eastAsia="仿宋_GB2312" w:cs="仿宋_GB2312"/>
          <w:b w:val="0"/>
          <w:bCs w:val="0"/>
          <w:color w:val="auto"/>
          <w:sz w:val="32"/>
          <w:szCs w:val="32"/>
        </w:rPr>
        <w:t>矿化反应对岩石物性影响机制，构建CO</w:t>
      </w:r>
      <w:r>
        <w:rPr>
          <w:rFonts w:hint="eastAsia" w:ascii="Nimbus Roman No9 L" w:hAnsi="Nimbus Roman No9 L" w:eastAsia="仿宋_GB2312" w:cs="仿宋_GB2312"/>
          <w:b w:val="0"/>
          <w:bCs w:val="0"/>
          <w:color w:val="auto"/>
          <w:sz w:val="32"/>
          <w:szCs w:val="32"/>
          <w:vertAlign w:val="subscript"/>
        </w:rPr>
        <w:t>2</w:t>
      </w:r>
      <w:r>
        <w:rPr>
          <w:rFonts w:hint="eastAsia" w:ascii="Nimbus Roman No9 L" w:hAnsi="Nimbus Roman No9 L" w:eastAsia="仿宋_GB2312" w:cs="仿宋_GB2312"/>
          <w:b w:val="0"/>
          <w:bCs w:val="0"/>
          <w:color w:val="auto"/>
          <w:sz w:val="32"/>
          <w:szCs w:val="32"/>
        </w:rPr>
        <w:t>封存过程矿化反应和渗流特征演化的表征模型，揭示多孔介质中CO</w:t>
      </w:r>
      <w:r>
        <w:rPr>
          <w:rFonts w:hint="eastAsia" w:ascii="Nimbus Roman No9 L" w:hAnsi="Nimbus Roman No9 L" w:eastAsia="仿宋_GB2312" w:cs="仿宋_GB2312"/>
          <w:b w:val="0"/>
          <w:bCs w:val="0"/>
          <w:color w:val="auto"/>
          <w:sz w:val="32"/>
          <w:szCs w:val="32"/>
          <w:vertAlign w:val="subscript"/>
        </w:rPr>
        <w:t>2</w:t>
      </w:r>
      <w:r>
        <w:rPr>
          <w:rFonts w:hint="eastAsia" w:ascii="Nimbus Roman No9 L" w:hAnsi="Nimbus Roman No9 L" w:eastAsia="仿宋_GB2312" w:cs="仿宋_GB2312"/>
          <w:b w:val="0"/>
          <w:bCs w:val="0"/>
          <w:color w:val="auto"/>
          <w:sz w:val="32"/>
          <w:szCs w:val="32"/>
        </w:rPr>
        <w:t>迁移与圈闭机制、CO</w:t>
      </w:r>
      <w:r>
        <w:rPr>
          <w:rFonts w:hint="eastAsia" w:ascii="Nimbus Roman No9 L" w:hAnsi="Nimbus Roman No9 L" w:eastAsia="仿宋_GB2312" w:cs="仿宋_GB2312"/>
          <w:b w:val="0"/>
          <w:bCs w:val="0"/>
          <w:color w:val="auto"/>
          <w:sz w:val="32"/>
          <w:szCs w:val="32"/>
          <w:vertAlign w:val="subscript"/>
        </w:rPr>
        <w:t>2</w:t>
      </w:r>
      <w:r>
        <w:rPr>
          <w:rFonts w:hint="eastAsia" w:ascii="Nimbus Roman No9 L" w:hAnsi="Nimbus Roman No9 L" w:eastAsia="仿宋_GB2312" w:cs="仿宋_GB2312"/>
          <w:b w:val="0"/>
          <w:bCs w:val="0"/>
          <w:color w:val="auto"/>
          <w:sz w:val="32"/>
          <w:szCs w:val="32"/>
        </w:rPr>
        <w:t>-地层流体-岩石的地球化学耦合作用，指导CO</w:t>
      </w:r>
      <w:r>
        <w:rPr>
          <w:rFonts w:hint="eastAsia" w:ascii="Nimbus Roman No9 L" w:hAnsi="Nimbus Roman No9 L" w:eastAsia="仿宋_GB2312" w:cs="仿宋_GB2312"/>
          <w:b w:val="0"/>
          <w:bCs w:val="0"/>
          <w:color w:val="auto"/>
          <w:sz w:val="32"/>
          <w:szCs w:val="32"/>
          <w:vertAlign w:val="subscript"/>
        </w:rPr>
        <w:t>2</w:t>
      </w:r>
      <w:r>
        <w:rPr>
          <w:rFonts w:hint="eastAsia" w:ascii="Nimbus Roman No9 L" w:hAnsi="Nimbus Roman No9 L" w:eastAsia="仿宋_GB2312" w:cs="仿宋_GB2312"/>
          <w:b w:val="0"/>
          <w:bCs w:val="0"/>
          <w:color w:val="auto"/>
          <w:sz w:val="32"/>
          <w:szCs w:val="32"/>
        </w:rPr>
        <w:t>封存与利用实践。</w:t>
      </w:r>
    </w:p>
    <w:p w14:paraId="1AEF6F7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lang w:val="en-US" w:eastAsia="zh-CN"/>
        </w:rPr>
        <w:t>D05</w:t>
      </w:r>
      <w:r>
        <w:rPr>
          <w:rFonts w:hint="eastAsia" w:ascii="Nimbus Roman No9 L" w:hAnsi="Nimbus Roman No9 L" w:eastAsia="仿宋_GB2312" w:cs="仿宋_GB2312"/>
          <w:b w:val="0"/>
          <w:bCs w:val="0"/>
          <w:color w:val="auto"/>
          <w:sz w:val="32"/>
          <w:szCs w:val="32"/>
        </w:rPr>
        <w:t>温压条件下丁苯胶乳在固井水泥浆体系中的耦合行为研究</w:t>
      </w:r>
    </w:p>
    <w:p w14:paraId="4D7CC1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rPr>
        <w:t>在固井工程中，丁苯胶乳已成为关键的外加剂材料并获得了广泛应用。丁苯胶乳的精细结构在温度-压力-水化的三场耦合场景下，如何决定胶乳成膜、微观结构演变及水泥石韧性功能的有效性，丁苯胶乳水泥浆如何耦合演变，是高性能固井聚合物水泥石研究与开发的关键科学与过程问题。本项目研究目标，在温压条件下，揭示丁苯胶乳结构及其精细调控对-水泥水化的时序竞争与调控机制，明确丁苯胶乳乳化体系及其结构对聚合物-水化产物界面的键合微结构演化影响规律，探明丁苯胶乳水泥浆的“热-流-力-化”耦合控制规律。</w:t>
      </w:r>
    </w:p>
    <w:p w14:paraId="43A3AEAB">
      <w:pPr>
        <w:pStyle w:val="2"/>
        <w:keepNext w:val="0"/>
        <w:keepLines w:val="0"/>
        <w:pageBreakBefore w:val="0"/>
        <w:widowControl w:val="0"/>
        <w:kinsoku/>
        <w:wordWrap/>
        <w:overflowPunct/>
        <w:topLinePunct w:val="0"/>
        <w:autoSpaceDE/>
        <w:autoSpaceDN/>
        <w:bidi w:val="0"/>
        <w:adjustRightInd/>
        <w:snapToGrid/>
        <w:spacing w:after="0" w:line="560" w:lineRule="exact"/>
        <w:ind w:firstLine="643" w:firstLineChars="200"/>
        <w:textAlignment w:val="auto"/>
        <w:rPr>
          <w:rFonts w:hint="eastAsia" w:ascii="Nimbus Roman No9 L" w:hAnsi="Nimbus Roman No9 L" w:eastAsia="仿宋_GB2312" w:cs="仿宋_GB2312"/>
          <w:b/>
          <w:bCs/>
          <w:color w:val="auto"/>
          <w:sz w:val="32"/>
          <w:szCs w:val="32"/>
          <w:lang w:val="en-US" w:eastAsia="zh-CN"/>
        </w:rPr>
      </w:pPr>
      <w:r>
        <w:rPr>
          <w:rFonts w:hint="eastAsia" w:ascii="Nimbus Roman No9 L" w:hAnsi="Nimbus Roman No9 L" w:eastAsia="仿宋_GB2312" w:cs="仿宋_GB2312"/>
          <w:b/>
          <w:bCs/>
          <w:color w:val="auto"/>
          <w:sz w:val="32"/>
          <w:szCs w:val="32"/>
          <w:lang w:val="en-US" w:eastAsia="zh-CN"/>
        </w:rPr>
        <w:t>2.2面上项目</w:t>
      </w:r>
    </w:p>
    <w:p w14:paraId="5DAEC5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lang w:val="en-US" w:eastAsia="zh-CN"/>
        </w:rPr>
        <w:t>A2001</w:t>
      </w:r>
      <w:r>
        <w:rPr>
          <w:rFonts w:hint="eastAsia" w:ascii="Nimbus Roman No9 L" w:hAnsi="Nimbus Roman No9 L" w:eastAsia="仿宋_GB2312" w:cs="仿宋_GB2312"/>
          <w:b w:val="0"/>
          <w:bCs w:val="0"/>
          <w:color w:val="auto"/>
          <w:sz w:val="32"/>
          <w:szCs w:val="32"/>
        </w:rPr>
        <w:t>基于波谱分析和羟基修饰测定特定油田化学品羟值的数据模型研究</w:t>
      </w:r>
    </w:p>
    <w:p w14:paraId="2A0075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rPr>
        <w:t>针对油田化学品羟值测定中吡啶类试剂高毒、恶臭且操作冗长的瓶颈，目前亟需发展新的羟值测定策略，规避传统滴定基质干扰，实现高效绿色测定，为油田化学品精准质控与构效关系认知提供科学依据。本项目需发展羟基靶向化学修饰与波谱定量解析协同测定方法；研选特定衍生试剂，实现羟基高效转化为具有特征波谱信号的“探针基团”，达到官能团的定位与放大的目的；结合红外、核磁等波谱技术，采集修饰前后系列样品的指纹图谱，建立修饰产物特征峰强度与真实羟值之间的定量数据模型。</w:t>
      </w:r>
    </w:p>
    <w:p w14:paraId="793592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lang w:val="en-US" w:eastAsia="zh-CN"/>
        </w:rPr>
        <w:t>A2002</w:t>
      </w:r>
      <w:r>
        <w:rPr>
          <w:rFonts w:hint="eastAsia" w:ascii="Nimbus Roman No9 L" w:hAnsi="Nimbus Roman No9 L" w:eastAsia="仿宋_GB2312" w:cs="仿宋_GB2312"/>
          <w:b w:val="0"/>
          <w:bCs w:val="0"/>
          <w:color w:val="auto"/>
          <w:sz w:val="32"/>
          <w:szCs w:val="32"/>
        </w:rPr>
        <w:t>基于电磁强化破乳机制实现非水基钻屑清洗液资源化回用技术研究</w:t>
      </w:r>
    </w:p>
    <w:p w14:paraId="202B98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rPr>
        <w:t>针对非水基钻屑清洗废液乳化稳定性强、油水难分离、清洗药剂难以循环、废液处置成本高的难题，探究多种电磁场参数作用下油-水界面结构变化与分子极化机制，阐明非水基钻屑清洗废液中“油包水/固”复杂体系的动态响应规律与可控破乳条件，揭示电磁场强化破乳分离的作用机理，优化电磁破乳工艺参数，以实现非水基钻屑清洗液高效循环利用，为海上钻屑清洗废液闭环资源化利用提供技术支撑。</w:t>
      </w:r>
    </w:p>
    <w:p w14:paraId="6E66443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lang w:val="en-US" w:eastAsia="zh-CN"/>
        </w:rPr>
        <w:t>A2003</w:t>
      </w:r>
      <w:r>
        <w:rPr>
          <w:rFonts w:hint="eastAsia" w:ascii="Nimbus Roman No9 L" w:hAnsi="Nimbus Roman No9 L" w:eastAsia="仿宋_GB2312" w:cs="仿宋_GB2312"/>
          <w:b w:val="0"/>
          <w:bCs w:val="0"/>
          <w:color w:val="auto"/>
          <w:sz w:val="32"/>
          <w:szCs w:val="32"/>
        </w:rPr>
        <w:t>无磷无硅环保型消泡剂的界面机制及性能调控研究</w:t>
      </w:r>
    </w:p>
    <w:p w14:paraId="2AD6BF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rPr>
        <w:t>针对油气固井水泥浆体系现有消泡剂多含硅含磷、破泡抑泡稳定性不足、高温碱性工况易失效等难题，依托高分子界面化学理论，探索天然高分子与合成高分子亲水亲油结构的复配改性机制，揭示碱性高固含体系下消泡分子的界面吸附、排液破泡及长效抑泡机理，解决传统消泡剂环保性与工程适配性矛盾的问题，以实现无磷无硅、耐高温强碱的环保型消泡剂可控制备，为固井绿色助剂开发提供理论支撑与技术路径。</w:t>
      </w:r>
    </w:p>
    <w:p w14:paraId="324FBF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lang w:val="en-US" w:eastAsia="zh-CN"/>
        </w:rPr>
        <w:t>A2004</w:t>
      </w:r>
      <w:r>
        <w:rPr>
          <w:rFonts w:hint="eastAsia" w:ascii="Nimbus Roman No9 L" w:hAnsi="Nimbus Roman No9 L" w:eastAsia="仿宋_GB2312" w:cs="仿宋_GB2312"/>
          <w:b w:val="0"/>
          <w:bCs w:val="0"/>
          <w:color w:val="auto"/>
          <w:sz w:val="32"/>
          <w:szCs w:val="32"/>
        </w:rPr>
        <w:t>高剪切流场下有机凝胶失效边界及其成胶反应动力学研究</w:t>
      </w:r>
    </w:p>
    <w:p w14:paraId="64DF20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rPr>
        <w:t>针对有机聚合物凝胶在高剪切作用下难以成胶、成胶强度不足的难题，揭示高剪切流场下有机凝胶的动态失效边界与机理，筛选具有强交联、高剪切适应的新型交联剂，建立聚合物与交联剂之间的交联反应动力学模型与催化强化方法，为高剪切条件下有机聚合物凝胶的成胶失效边界和可靠成胶研究提供理论依据。</w:t>
      </w:r>
    </w:p>
    <w:p w14:paraId="0A4269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lang w:val="en-US" w:eastAsia="zh-CN"/>
        </w:rPr>
        <w:t>A2005</w:t>
      </w:r>
      <w:r>
        <w:rPr>
          <w:rFonts w:hint="eastAsia" w:ascii="Nimbus Roman No9 L" w:hAnsi="Nimbus Roman No9 L" w:eastAsia="仿宋_GB2312" w:cs="仿宋_GB2312"/>
          <w:b w:val="0"/>
          <w:bCs w:val="0"/>
          <w:color w:val="auto"/>
          <w:sz w:val="32"/>
          <w:szCs w:val="32"/>
        </w:rPr>
        <w:t>超高温下压裂液冻胶流变失稳演化规律及抗脱水调控机制研究</w:t>
      </w:r>
    </w:p>
    <w:p w14:paraId="08678B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rPr>
        <w:t>针对180℃以上超高温工况下压裂液冻胶粘度波动剧烈、测试后严重脱水的技术难题，攻关超高温环境下冻胶体系流变失稳、相分离脱水的失效机制。探明高温热降解、分子链弛豫与交联网络破坏的耦合作用规律，揭示粘度波动与脱水失效的内在关联机理。优化适配超高温的交联体系与稳定剂，建立超高温冻胶流变演化与脱水动力学模型，构建超高温压裂液冻胶性能稳定调控技术，为超高温油气藏压裂改造中压裂液稳定调控提供理论依据与技术支撑。</w:t>
      </w:r>
    </w:p>
    <w:p w14:paraId="571FCE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lang w:val="en-US" w:eastAsia="zh-CN"/>
        </w:rPr>
        <w:t>A2006</w:t>
      </w:r>
      <w:r>
        <w:rPr>
          <w:rFonts w:hint="eastAsia" w:ascii="Nimbus Roman No9 L" w:hAnsi="Nimbus Roman No9 L" w:eastAsia="仿宋_GB2312" w:cs="仿宋_GB2312"/>
          <w:b w:val="0"/>
          <w:bCs w:val="0"/>
          <w:color w:val="auto"/>
          <w:sz w:val="32"/>
          <w:szCs w:val="32"/>
        </w:rPr>
        <w:t>人工智能驱动的复杂介质地震波传播建模与反演成像方法研究</w:t>
      </w:r>
    </w:p>
    <w:p w14:paraId="094135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rPr>
        <w:t>针对传统地震成像与反演计算成本高、对复杂地下结构适应性不足等问题，建立融合偏微分方程模型与人工智能技术的地震波传播与反演框架，研究复杂介质波场模拟、高效反演及智能成像方法，实现人工智能驱动的地震波场快速预测和地下介质参数高精度重建，为复杂油气储层精细刻画和高效勘探提供理论基础与技术支撑。</w:t>
      </w:r>
    </w:p>
    <w:p w14:paraId="7EC4CE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highlight w:val="none"/>
        </w:rPr>
      </w:pPr>
      <w:r>
        <w:rPr>
          <w:rFonts w:hint="eastAsia" w:ascii="Nimbus Roman No9 L" w:hAnsi="Nimbus Roman No9 L" w:eastAsia="仿宋_GB2312" w:cs="仿宋_GB2312"/>
          <w:b w:val="0"/>
          <w:bCs w:val="0"/>
          <w:color w:val="auto"/>
          <w:sz w:val="32"/>
          <w:szCs w:val="32"/>
          <w:highlight w:val="none"/>
          <w:lang w:val="en-US" w:eastAsia="zh-CN"/>
        </w:rPr>
        <w:t>A2007</w:t>
      </w:r>
      <w:r>
        <w:rPr>
          <w:rFonts w:hint="eastAsia" w:ascii="Nimbus Roman No9 L" w:hAnsi="Nimbus Roman No9 L" w:eastAsia="仿宋_GB2312" w:cs="仿宋_GB2312"/>
          <w:b w:val="0"/>
          <w:bCs w:val="0"/>
          <w:color w:val="auto"/>
          <w:sz w:val="32"/>
          <w:szCs w:val="32"/>
          <w:highlight w:val="none"/>
        </w:rPr>
        <w:t>基于压缩感知与可解释性学习方法的高效地震数据插值方法研究</w:t>
      </w:r>
    </w:p>
    <w:p w14:paraId="794FE1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highlight w:val="none"/>
        </w:rPr>
      </w:pPr>
      <w:r>
        <w:rPr>
          <w:rFonts w:hint="eastAsia" w:ascii="Nimbus Roman No9 L" w:hAnsi="Nimbus Roman No9 L" w:eastAsia="仿宋_GB2312" w:cs="仿宋_GB2312"/>
          <w:b w:val="0"/>
          <w:bCs w:val="0"/>
          <w:color w:val="auto"/>
          <w:sz w:val="32"/>
          <w:szCs w:val="32"/>
          <w:highlight w:val="none"/>
        </w:rPr>
        <w:t>针对真实叠前数据中的复杂缺失与噪声污染问题，研究基于压缩感知与可解释性学习方法的高效鲁棒插值算法，以克服数据缺失所引发的伴生假频假象，避免分步处理造成的效果劣化和数据失真。通过融合稀疏表示、快速算子分裂算法及深度学习等技术，实现面向大规模高维数据的高效鲁棒插值，为地层结构分析及油气勘探提质增效提供理论与算法基础。</w:t>
      </w:r>
    </w:p>
    <w:p w14:paraId="4E21D6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lang w:val="en-US" w:eastAsia="zh-CN"/>
        </w:rPr>
        <w:t>A2008</w:t>
      </w:r>
      <w:r>
        <w:rPr>
          <w:rFonts w:hint="eastAsia" w:ascii="Nimbus Roman No9 L" w:hAnsi="Nimbus Roman No9 L" w:eastAsia="仿宋_GB2312" w:cs="仿宋_GB2312"/>
          <w:b w:val="0"/>
          <w:bCs w:val="0"/>
          <w:color w:val="auto"/>
          <w:sz w:val="32"/>
          <w:szCs w:val="32"/>
        </w:rPr>
        <w:t>基于高维匹配的走时相关类目标函数研究</w:t>
      </w:r>
    </w:p>
    <w:p w14:paraId="768394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rPr>
        <w:t>聚焦海洋油气地球物理勘探高精度全波形反演建模需求，针对复杂地质条件下地震记录信噪比低、常规基于L2目标函数的单道逐点对比振幅抗噪性差和“周波跳跃”的问题，开展基于频率自适应划分的局部时间和空间高维多道匹配互相关类目标函数研究，实现复杂区域全波形反演速度的稳定反演，最大允许走时误差相较常规L2目标函数提升至少1/4个周期。</w:t>
      </w:r>
    </w:p>
    <w:p w14:paraId="43946E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lang w:val="en-US" w:eastAsia="zh-CN"/>
        </w:rPr>
        <w:t>A2009</w:t>
      </w:r>
      <w:r>
        <w:rPr>
          <w:rFonts w:hint="eastAsia" w:ascii="Nimbus Roman No9 L" w:hAnsi="Nimbus Roman No9 L" w:eastAsia="仿宋_GB2312" w:cs="仿宋_GB2312"/>
          <w:b w:val="0"/>
          <w:bCs w:val="0"/>
          <w:color w:val="auto"/>
          <w:sz w:val="32"/>
          <w:szCs w:val="32"/>
        </w:rPr>
        <w:t>三维拉东变换高效高精度算法研究</w:t>
      </w:r>
    </w:p>
    <w:p w14:paraId="6AA956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rPr>
        <w:t>针对传统三维拉东变换方法积分核复杂、计算量庞大，计算效率与精度难以兼顾的问题，系统剖析积分核计算瓶颈与误差机理，提出核函数优化策略与快速算法架构，研发兼具高效率与保真度的三维拉东变换算法，为复杂地震数据的高效工业化处理提供核心算法支撑。</w:t>
      </w:r>
    </w:p>
    <w:p w14:paraId="7746EC21">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lang w:val="en-US" w:eastAsia="zh-CN"/>
        </w:rPr>
        <w:t>A2010</w:t>
      </w:r>
      <w:r>
        <w:rPr>
          <w:rFonts w:hint="eastAsia" w:ascii="Nimbus Roman No9 L" w:hAnsi="Nimbus Roman No9 L" w:eastAsia="仿宋_GB2312" w:cs="仿宋_GB2312"/>
          <w:b w:val="0"/>
          <w:bCs w:val="0"/>
          <w:color w:val="auto"/>
          <w:sz w:val="32"/>
          <w:szCs w:val="32"/>
        </w:rPr>
        <w:t>大规模三维波动方程低频散混合迭代正反演求解算法研究</w:t>
      </w:r>
    </w:p>
    <w:p w14:paraId="481837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rPr>
        <w:t>针对海洋油气地震勘探中大规模三维波动方程正反演求解过程中，传统显式、隐式有限差分时步受限、求解成本高昂的缺陷，围绕数值频散突出、网格约束严苛核心难题，研究基于显式计算的最优隐式差分系数求解算法，构建适用于三维波动方程的低频散、高效率、高精度混合迭代正反演算法，突破传统差分格式对网格密度的苛刻限制，为高精度全波形反演与成像提供核心算法支撑。</w:t>
      </w:r>
    </w:p>
    <w:p w14:paraId="04F5D22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Nimbus Roman No9 L" w:hAnsi="Nimbus Roman No9 L" w:eastAsia="仿宋_GB2312" w:cs="仿宋_GB2312"/>
          <w:b/>
          <w:bCs/>
          <w:color w:val="auto"/>
          <w:sz w:val="32"/>
          <w:szCs w:val="32"/>
          <w:lang w:val="en-US" w:eastAsia="zh-CN"/>
        </w:rPr>
      </w:pPr>
      <w:r>
        <w:rPr>
          <w:rFonts w:hint="eastAsia" w:ascii="Nimbus Roman No9 L" w:hAnsi="Nimbus Roman No9 L" w:eastAsia="仿宋_GB2312" w:cs="仿宋_GB2312"/>
          <w:b/>
          <w:bCs/>
          <w:color w:val="auto"/>
          <w:sz w:val="32"/>
          <w:szCs w:val="32"/>
          <w:lang w:val="en-US" w:eastAsia="zh-CN"/>
        </w:rPr>
        <w:t>2.3青年项目</w:t>
      </w:r>
    </w:p>
    <w:p w14:paraId="4162AA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lang w:val="en-US" w:eastAsia="zh-CN"/>
        </w:rPr>
        <w:t>A2011</w:t>
      </w:r>
      <w:r>
        <w:rPr>
          <w:rFonts w:hint="eastAsia" w:ascii="Nimbus Roman No9 L" w:hAnsi="Nimbus Roman No9 L" w:eastAsia="仿宋_GB2312" w:cs="仿宋_GB2312"/>
          <w:b w:val="0"/>
          <w:bCs w:val="0"/>
          <w:color w:val="auto"/>
          <w:sz w:val="32"/>
          <w:szCs w:val="32"/>
        </w:rPr>
        <w:t>天然分子筛改性油井水泥的综合性能及水化机理研究</w:t>
      </w:r>
    </w:p>
    <w:p w14:paraId="53BB0B3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仿宋_GB2312" w:cs="仿宋_GB2312"/>
          <w:b w:val="0"/>
          <w:bCs w:val="0"/>
          <w:color w:val="auto"/>
          <w:sz w:val="32"/>
          <w:szCs w:val="32"/>
        </w:rPr>
        <w:t>油井水泥服役于高温高压、酸性流体、循环载荷等苛刻环境，而现有研究多聚焦火山灰反应及废弃分子筛资源化。天然分子筛结构类型多样、硅铝比差异显著，针对其在油井水泥中的综合性能与作用机理研究难点，本项目拟系统探究不同结构类型与硅铝比的天然分子筛对油井水泥力学性能、流变性能及抗腐蚀性能的影响，阐明其水化作用机理，揭示改性性能影响规律，为油井水泥材料性能优化提供科学依据。</w:t>
      </w:r>
    </w:p>
    <w:p w14:paraId="7DD6EA57">
      <w:pPr>
        <w:pStyle w:val="9"/>
        <w:bidi w:val="0"/>
        <w:rPr>
          <w:rFonts w:hint="eastAsia" w:ascii="Nimbus Roman No9 L" w:hAnsi="Nimbus Roman No9 L"/>
          <w:lang w:eastAsia="zh-CN"/>
        </w:rPr>
      </w:pPr>
      <w:bookmarkStart w:id="1" w:name="_Toc1457248039"/>
    </w:p>
    <w:p w14:paraId="2DECDE8D">
      <w:pPr>
        <w:pStyle w:val="9"/>
        <w:bidi w:val="0"/>
        <w:rPr>
          <w:rFonts w:hint="eastAsia" w:ascii="Nimbus Roman No9 L" w:hAnsi="Nimbus Roman No9 L"/>
          <w:lang w:eastAsia="zh-CN"/>
        </w:rPr>
      </w:pPr>
    </w:p>
    <w:p w14:paraId="7CB4218D">
      <w:pPr>
        <w:pStyle w:val="9"/>
        <w:bidi w:val="0"/>
        <w:rPr>
          <w:rFonts w:hint="eastAsia" w:ascii="Nimbus Roman No9 L" w:hAnsi="Nimbus Roman No9 L"/>
          <w:lang w:eastAsia="zh-CN"/>
        </w:rPr>
      </w:pPr>
    </w:p>
    <w:p w14:paraId="6B8AB114">
      <w:pPr>
        <w:pStyle w:val="9"/>
        <w:bidi w:val="0"/>
        <w:rPr>
          <w:rFonts w:hint="eastAsia" w:ascii="Nimbus Roman No9 L" w:hAnsi="Nimbus Roman No9 L"/>
          <w:lang w:eastAsia="zh-CN"/>
        </w:rPr>
      </w:pPr>
    </w:p>
    <w:p w14:paraId="0844B391">
      <w:pPr>
        <w:pStyle w:val="9"/>
        <w:bidi w:val="0"/>
        <w:rPr>
          <w:rFonts w:hint="eastAsia" w:ascii="Nimbus Roman No9 L" w:hAnsi="Nimbus Roman No9 L"/>
          <w:lang w:eastAsia="zh-CN"/>
        </w:rPr>
      </w:pPr>
    </w:p>
    <w:p w14:paraId="6905D46E">
      <w:pPr>
        <w:pStyle w:val="9"/>
        <w:bidi w:val="0"/>
        <w:rPr>
          <w:rFonts w:hint="eastAsia" w:ascii="Nimbus Roman No9 L" w:hAnsi="Nimbus Roman No9 L"/>
          <w:lang w:eastAsia="zh-CN"/>
        </w:rPr>
      </w:pPr>
    </w:p>
    <w:p w14:paraId="00117EB8">
      <w:pPr>
        <w:pStyle w:val="9"/>
        <w:bidi w:val="0"/>
        <w:rPr>
          <w:rFonts w:hint="eastAsia" w:ascii="Nimbus Roman No9 L" w:hAnsi="Nimbus Roman No9 L"/>
          <w:lang w:eastAsia="zh-CN"/>
        </w:rPr>
      </w:pPr>
    </w:p>
    <w:p w14:paraId="29D7F6E0">
      <w:pPr>
        <w:pStyle w:val="9"/>
        <w:bidi w:val="0"/>
        <w:rPr>
          <w:rFonts w:hint="eastAsia" w:ascii="Nimbus Roman No9 L" w:hAnsi="Nimbus Roman No9 L"/>
          <w:lang w:eastAsia="zh-CN"/>
        </w:rPr>
      </w:pPr>
    </w:p>
    <w:p w14:paraId="49B593D9">
      <w:pPr>
        <w:pStyle w:val="9"/>
        <w:bidi w:val="0"/>
        <w:rPr>
          <w:rFonts w:hint="eastAsia" w:ascii="Nimbus Roman No9 L" w:hAnsi="Nimbus Roman No9 L"/>
          <w:lang w:eastAsia="zh-CN"/>
        </w:rPr>
      </w:pPr>
    </w:p>
    <w:p w14:paraId="404EBA80">
      <w:pPr>
        <w:pStyle w:val="9"/>
        <w:bidi w:val="0"/>
        <w:rPr>
          <w:rFonts w:hint="eastAsia" w:ascii="Nimbus Roman No9 L" w:hAnsi="Nimbus Roman No9 L"/>
          <w:lang w:eastAsia="zh-CN"/>
        </w:rPr>
      </w:pPr>
    </w:p>
    <w:p w14:paraId="4410C23E">
      <w:pPr>
        <w:pStyle w:val="9"/>
        <w:bidi w:val="0"/>
        <w:rPr>
          <w:rFonts w:hint="eastAsia" w:ascii="Nimbus Roman No9 L" w:hAnsi="Nimbus Roman No9 L"/>
          <w:lang w:eastAsia="zh-CN"/>
        </w:rPr>
      </w:pPr>
    </w:p>
    <w:p w14:paraId="5F5854EA">
      <w:pPr>
        <w:pStyle w:val="9"/>
        <w:bidi w:val="0"/>
        <w:rPr>
          <w:rFonts w:hint="eastAsia" w:ascii="Nimbus Roman No9 L" w:hAnsi="Nimbus Roman No9 L"/>
          <w:lang w:eastAsia="zh-CN"/>
        </w:rPr>
      </w:pPr>
    </w:p>
    <w:p w14:paraId="3322B558">
      <w:pPr>
        <w:pStyle w:val="9"/>
        <w:bidi w:val="0"/>
        <w:rPr>
          <w:rFonts w:hint="eastAsia" w:ascii="Nimbus Roman No9 L" w:hAnsi="Nimbus Roman No9 L"/>
          <w:lang w:eastAsia="zh-CN"/>
        </w:rPr>
      </w:pPr>
    </w:p>
    <w:p w14:paraId="65498E4F">
      <w:pPr>
        <w:pStyle w:val="9"/>
        <w:bidi w:val="0"/>
        <w:rPr>
          <w:rFonts w:hint="eastAsia" w:ascii="Nimbus Roman No9 L" w:hAnsi="Nimbus Roman No9 L"/>
          <w:lang w:eastAsia="zh-CN"/>
        </w:rPr>
      </w:pPr>
    </w:p>
    <w:p w14:paraId="6E40CF37">
      <w:pPr>
        <w:pStyle w:val="9"/>
        <w:bidi w:val="0"/>
        <w:rPr>
          <w:rFonts w:hint="eastAsia" w:ascii="Nimbus Roman No9 L" w:hAnsi="Nimbus Roman No9 L"/>
          <w:lang w:eastAsia="zh-CN"/>
        </w:rPr>
      </w:pPr>
    </w:p>
    <w:p w14:paraId="07096797">
      <w:pPr>
        <w:pStyle w:val="9"/>
        <w:bidi w:val="0"/>
        <w:rPr>
          <w:rFonts w:hint="eastAsia" w:ascii="Nimbus Roman No9 L" w:hAnsi="Nimbus Roman No9 L"/>
          <w:lang w:eastAsia="zh-CN"/>
        </w:rPr>
      </w:pPr>
    </w:p>
    <w:p w14:paraId="06CE59B8">
      <w:pPr>
        <w:pStyle w:val="9"/>
        <w:bidi w:val="0"/>
        <w:rPr>
          <w:rFonts w:hint="eastAsia" w:ascii="Nimbus Roman No9 L" w:hAnsi="Nimbus Roman No9 L"/>
          <w:lang w:eastAsia="zh-CN"/>
        </w:rPr>
      </w:pPr>
      <w:r>
        <w:rPr>
          <w:rFonts w:hint="eastAsia" w:ascii="Nimbus Roman No9 L" w:hAnsi="Nimbus Roman No9 L"/>
          <w:lang w:eastAsia="zh-CN"/>
        </w:rPr>
        <w:t>二、天津市自然科学基金联合基金-医学影像与放疗安全项目</w:t>
      </w:r>
      <w:bookmarkEnd w:id="1"/>
    </w:p>
    <w:p w14:paraId="57972A47">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楷体_GB2312" w:cs="楷体_GB2312"/>
          <w:b w:val="0"/>
          <w:bCs w:val="0"/>
          <w:color w:val="auto"/>
          <w:sz w:val="32"/>
          <w:szCs w:val="32"/>
          <w:lang w:val="en-US" w:eastAsia="zh-CN"/>
        </w:rPr>
      </w:pPr>
      <w:r>
        <w:rPr>
          <w:rFonts w:hint="eastAsia" w:ascii="Nimbus Roman No9 L" w:hAnsi="Nimbus Roman No9 L" w:eastAsia="楷体_GB2312" w:cs="楷体_GB2312"/>
          <w:b w:val="0"/>
          <w:bCs w:val="0"/>
          <w:color w:val="auto"/>
          <w:sz w:val="32"/>
          <w:szCs w:val="32"/>
          <w:lang w:val="en-US" w:eastAsia="zh-CN"/>
        </w:rPr>
        <w:t>1.研究目标</w:t>
      </w:r>
    </w:p>
    <w:p w14:paraId="71C2A0C7">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聚焦复杂疾病诊断、治疗反应评估与机制解析关键科学问题，从临床实际需求与医学前沿技术实践出发，以促进相关疾病精准诊疗及健康管理为主线，针对疾病影像学诊断、智能辅助诊疗、精准放疗与疗效评估、多模态信息交互机制、中医现代化等方向，资助科研人员开展相关应用基础研究，旨在深入挖掘疾病发生发展及治疗反应背后的科学机制，加快医学科技创新进程，为相关疾病的早期诊断、精准治疗及个体化预防提供科学依据和创新方法，推动医学技术进步与临床实践优化。</w:t>
      </w:r>
    </w:p>
    <w:p w14:paraId="1C6CF72A">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拟支持重点项目18项，其中重点项目（50万元）1项。本专项成果知识产权授权项目承担单位，出资方对其享有5年的优先使用权。</w:t>
      </w:r>
    </w:p>
    <w:p w14:paraId="1DB37DB9">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楷体_GB2312" w:cs="楷体_GB2312"/>
          <w:b w:val="0"/>
          <w:bCs w:val="0"/>
          <w:color w:val="auto"/>
          <w:sz w:val="32"/>
          <w:szCs w:val="32"/>
          <w:lang w:val="en-US" w:eastAsia="zh-CN"/>
        </w:rPr>
      </w:pPr>
      <w:r>
        <w:rPr>
          <w:rFonts w:hint="eastAsia" w:ascii="Nimbus Roman No9 L" w:hAnsi="Nimbus Roman No9 L" w:eastAsia="楷体_GB2312" w:cs="楷体_GB2312"/>
          <w:b w:val="0"/>
          <w:bCs w:val="0"/>
          <w:color w:val="auto"/>
          <w:sz w:val="32"/>
          <w:szCs w:val="32"/>
          <w:lang w:val="en-US" w:eastAsia="zh-CN"/>
        </w:rPr>
        <w:t>2.重点资助内容</w:t>
      </w:r>
    </w:p>
    <w:p w14:paraId="0EC6845B">
      <w:pPr>
        <w:pStyle w:val="2"/>
        <w:keepNext w:val="0"/>
        <w:keepLines w:val="0"/>
        <w:pageBreakBefore w:val="0"/>
        <w:widowControl w:val="0"/>
        <w:kinsoku/>
        <w:wordWrap/>
        <w:overflowPunct/>
        <w:topLinePunct w:val="0"/>
        <w:autoSpaceDE/>
        <w:autoSpaceDN/>
        <w:bidi w:val="0"/>
        <w:adjustRightInd/>
        <w:snapToGrid/>
        <w:spacing w:after="0" w:line="560" w:lineRule="exact"/>
        <w:ind w:firstLine="643" w:firstLineChars="200"/>
        <w:textAlignment w:val="auto"/>
        <w:rPr>
          <w:rFonts w:hint="eastAsia" w:ascii="Nimbus Roman No9 L" w:hAnsi="Nimbus Roman No9 L" w:eastAsia="仿宋_GB2312" w:cs="仿宋_GB2312"/>
          <w:b/>
          <w:bCs/>
          <w:color w:val="auto"/>
          <w:sz w:val="32"/>
          <w:szCs w:val="32"/>
          <w:lang w:val="en-US" w:eastAsia="zh-CN"/>
        </w:rPr>
      </w:pPr>
      <w:r>
        <w:rPr>
          <w:rFonts w:hint="eastAsia" w:ascii="Nimbus Roman No9 L" w:hAnsi="Nimbus Roman No9 L" w:eastAsia="仿宋_GB2312" w:cs="仿宋_GB2312"/>
          <w:b/>
          <w:bCs/>
          <w:color w:val="auto"/>
          <w:sz w:val="32"/>
          <w:szCs w:val="32"/>
          <w:lang w:val="en-US" w:eastAsia="zh-CN"/>
        </w:rPr>
        <w:t>2.1重点项目</w:t>
      </w:r>
    </w:p>
    <w:p w14:paraId="24A5CCDA">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H01基于非人体异源蛋白CAR-T与多参数MRI影像示踪的实体瘤冷肿瘤转化关键技术研究(重点项目（50万元）)</w:t>
      </w:r>
    </w:p>
    <w:p w14:paraId="6AB2EBAC">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实体瘤CAR-T治疗中靶向不足、浸润受限及免疫抑制微环境等难题，基于非人体异源蛋白CAR与免疫刺激联合策略治疗实体肿瘤，探索冷肿瘤向热肿瘤转化的分子机制与微环境重塑规律，设计利用多参数MRI动态示踪CAR-T细胞归巢、扩增及功能状态的影像监测方案，并以PET/MR进行验证和校准，构建基于影像的可量化、可预测的疗效评估与精准治疗平台，开展临床前验证。</w:t>
      </w:r>
    </w:p>
    <w:p w14:paraId="24EF2289">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H02面向中医体质辨识的多模态MRI无创预测胆囊结石成分及术后复发风险评估关键技术研究</w:t>
      </w:r>
    </w:p>
    <w:p w14:paraId="749F3276">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胆囊结石高发且缺乏个体化预防手段的问题，基于中医理论及体质学说，利用MRI量化胆囊动力与胆汁理化状态技术，揭示不同中医体质中MRI影像学特征与生化检查和术后胆囊结石复发的内在关联机制，构建术前无创结石成分预测算法，建立术后复发风险分层模型，开展临床验证。</w:t>
      </w:r>
    </w:p>
    <w:p w14:paraId="773C7429">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H03基于低剂量CT与嵌套生境分析的原发骨肿瘤侵袭性无创评估研究</w:t>
      </w:r>
    </w:p>
    <w:p w14:paraId="197288E2">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原发骨肿瘤侵袭性评估依赖有创检查等问题，基于深度学习的低剂量CT结合嵌套生境分析，探索肿瘤空间异质性微环境与侵袭性生物学行为的影像-病理对应机制，开发多维度生境特征量化的原发骨肿瘤良恶性评估方法，构建融合影像组学特征与临床参数的无创侵袭性预测模型，开展前瞻性大样本队列（≥200例）真实世界验证。</w:t>
      </w:r>
    </w:p>
    <w:p w14:paraId="50759D21">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H04低剂量放疗对难治性膝骨关节炎过渡性干预的随机对照研究及疗效预测模型构建</w:t>
      </w:r>
    </w:p>
    <w:p w14:paraId="4288E2E9">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难治性膝骨关节炎患者保守治疗无效、关节置换风险高且缺乏有效过渡性干预手段的临床困境，基于低剂量照射放疗的局部抗炎作用，探索巨噬细胞M1/M2动态转化与细胞因子网络调控的放疗-免疫学机制，设计以疼痛视觉模拟评分与关节功能指数为核心的多维度、长周期疗效动态监测方案，整合影像组学滑膜特征、免疫表型及临床基线等多模态数据，构建基于机器学习的个体化疗效预测模型，并开展前瞻性随机对照研究。</w:t>
      </w:r>
    </w:p>
    <w:p w14:paraId="68A8981D">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H05基于多模态影像引导和深度学习辅助决策的宫颈癌自适应放疗关键技术研究</w:t>
      </w:r>
    </w:p>
    <w:p w14:paraId="597C105A">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宫颈癌放疗中器官运动和肿瘤退缩导致的靶区欠量、危及器官剂量超限以及临床决策效率低下的问题，基于多模态影像引导的自适应放疗与深度学习技术，探索肿瘤退缩与器官运动的动态变化机制，设计靶区实时修正与剂量优化策略，构建宫颈癌个体化自适应放疗剂量预测模型，结合真实世界病例开展验证。</w:t>
      </w:r>
    </w:p>
    <w:p w14:paraId="4215A2A4">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H06基于环形加速器的宫颈癌在线自适应放疗流程优化和全程剂量评价研究</w:t>
      </w:r>
    </w:p>
    <w:p w14:paraId="7B6219AA">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宫颈癌在线自适应放疗人工依赖度高、流程耗时及缺乏内/外照射全疗程精准剂量评估的问题，基于环形加速器并利用人工智能技术，探索宫颈癌在线自适应放疗中减少人力资源消耗、提高自主决策能力与流程优化的闭环响应机制，设计外照射联合三维后装或插植放疗的全程累积剂量精准量化方案，构建融合智能决策与全程剂量评价的宫颈癌精准放疗技术方法，开展前瞻性真实世界验证。</w:t>
      </w:r>
    </w:p>
    <w:p w14:paraId="2737AF32">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H07基于影像-剂量多组学融合的放射性心脏损伤精准预测关键技术研究</w:t>
      </w:r>
    </w:p>
    <w:p w14:paraId="1848A94E">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基于心脏整体剂量指标预测个体化放射性心脏损伤不准确的问题，利用影像组学、剂量组学特征及临床数据，结合机器学习方法，探索心脏亚结构空间剂量分布、临床特征与心脏损伤的剂量-反应机制，设计多模态特征融合与风险分层方法，构建高精度个体化放射性心脏损伤预测模型，开展真实世界验证。</w:t>
      </w:r>
    </w:p>
    <w:p w14:paraId="141723B2">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H08基于多模态MRI的垂体瘤-乳腺类器官共培养模型影像组学标志物动态互作机制研究</w:t>
      </w:r>
    </w:p>
    <w:p w14:paraId="32F8EC0B">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垂体瘤与乳腺疾病共病机制不清、体内模型复杂难以解析互作关系的问题，基于多模态磁共振成像技术，探索垂体瘤分泌因子驱动的乳腺类器官微环境重塑在MRI上的特异性影像组学表征规律，设计MR动态扫描方案，构建预测垂体瘤-乳腺类器官互作强度的影像-分子融合模型，开展体外实验验证。</w:t>
      </w:r>
    </w:p>
    <w:p w14:paraId="720E0834">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H09基于双源CT多参数的结直肠癌高危侵袭性术前无创评估关键技术研究</w:t>
      </w:r>
    </w:p>
    <w:p w14:paraId="43BD42D3">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结直肠癌术前无创评估难以精准判别不同高危侵袭性病理类型的问题，基于双源CT三期增强扫描及多能量定量参数，探索淋巴管侵犯、血管侵犯及神经侵犯对应的特异性能谱影像特征规律，设计临床-形态-能谱多维度特征融合与术前无创评估方案，构建结直肠癌高危侵袭性状态术前评估模型，开展真实世界验证。</w:t>
      </w:r>
    </w:p>
    <w:p w14:paraId="194FAFD1">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H010基于高分辨率MRI的靶向抗中枢神经系统白血病的疗效定量评估</w:t>
      </w:r>
    </w:p>
    <w:p w14:paraId="1D2B6E93">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中枢神经系统白血病因血脑屏障阻隔导致传统药物疗效受限、临床缺乏高效低毒疗法的难题，基于高分辨磁共振成像技术，探索新型靶向药物治疗中枢神经系统白血病的药效和药理机制，设计多参数扫描方案，定量评估小鼠模型脑部白血病浸润灶变化，建立靶向调控水平与MRI定量参数变化的对应关系，整合分子机制与药效评估，构建新型靶向药物治疗中枢神经系统白血病的验证方法。</w:t>
      </w:r>
    </w:p>
    <w:p w14:paraId="3D785686">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H011基于多模态影像定量分析的老年髋部骨折内固定失效智能预测模型研究</w:t>
      </w:r>
    </w:p>
    <w:p w14:paraId="759EF609">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老年骨质疏松性髋部骨折术后内固定失效高发及缺乏量化评估指标的问题，基于双能CT、MSCT密度定量影像学检查与力学分析技术，探索局部骨密度、骨微结构力学强度与内固定物稳定性及应力分布的关联机制，设计多模态智能特征提取与标准化量化评估方法，构建个体化内固定失效风险智能预测模型，开展多中心大样本的临床验证。</w:t>
      </w:r>
    </w:p>
    <w:p w14:paraId="329B884E">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H012基于CTA影像智能分析的胸痛三联征检测、分割与鉴别诊断关键技术研究</w:t>
      </w:r>
    </w:p>
    <w:p w14:paraId="54562499">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胸痛三联征（急性冠脉综合征、肺动脉栓塞、主动脉夹层）现有技术在复杂血管病变场景下检测精度不足、分割边界漂移和疾病鉴别鲁棒性差的问题，探索针对胸痛三联征复杂病变的精准检测与分割方法，构建覆盖病变检出、结构分割、特征量化与疾病鉴别的智能诊断模型，并开展真实世界验证。</w:t>
      </w:r>
    </w:p>
    <w:p w14:paraId="7BA8E740">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H013基于可重复时序随访超声斑块微环境影像组学的卒中风险智能预警模型研究</w:t>
      </w:r>
    </w:p>
    <w:p w14:paraId="642138BC">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单次静态影像难以捕捉颈动脉易损斑块动态演化及高危进展节点识别难的临床问题，依托常规超声、超声造影及超分辨显微成像技术，探索斑块微环境（新生血管、斑块内出血）时序影像组学特征与卒中发生风险的时序关联机制，构建适配长期随访的动态监测方案与时序智能预警模型，开展真实世界验证。</w:t>
      </w:r>
    </w:p>
    <w:p w14:paraId="24C29424">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H014钙化型乳腺癌多模态影像钙化特征解析及风险分层关键技术研究</w:t>
      </w:r>
    </w:p>
    <w:p w14:paraId="61093FD8">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钙化型乳腺癌精准诊断困难、复查时间缺乏依据、预后预测困难等问题，基于多模态影像智能融合分析技术，整合乳腺X线、超声、磁共振成像在钙化形态、周围微环境及功能参数上的互补信息，探索钙化特征与病灶演化及预后转归的关联机制，设计钙化智能分型、风险分层及预测方法，构建覆盖诊断-随访-预后的全链条多模态影像决策模型，并开展多中心队列验证。</w:t>
      </w:r>
    </w:p>
    <w:p w14:paraId="57DA9F8C">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H015基于应力分布与静息态fMRI的“以肉调筋”手法调控膝内侧疼痛软骨‑神经耦联机制研究</w:t>
      </w:r>
    </w:p>
    <w:p w14:paraId="558BC1C6">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以肉调筋"手法治疗膝关节内侧应力性疼痛的软骨-神经耦联调控机制不清的问题。基于多模态MRI技术，探索该手法干预下膝关节外周应力分布改善与中枢痛觉网络重塑的协同耦联机制，设计应力分布检测、软骨T2 mapping定量成像及静息态fMRI的多维度影像采集与动态分析方案，构建"外周筋骨应力-软骨微结构-中枢脑网络"跨模态关联模型，开展干预前后对照验证。</w:t>
      </w:r>
    </w:p>
    <w:p w14:paraId="4A2BEC97">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H016基于多模态脑网络技术的神经系统疾病个体化脑损伤热点地图构建与精准诊疗研究</w:t>
      </w:r>
    </w:p>
    <w:p w14:paraId="1A37A376">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面向神经系统疾病（如脑卒中）高度生物学异质性导致病理机制不明和精准诊疗难的问题，基于多模态脑网络映射技术，探索局部脑结构损伤跨脑区扩散的网络紊乱机制，设计个体化脑损伤网络热点地图构建与验证方法，构建包含AI辅助分型及个体化干预（针灸，rTMS等）的精准诊疗体系，开展真实世界验证。</w:t>
      </w:r>
    </w:p>
    <w:p w14:paraId="7F1BBDDD">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H017基于多模态融合与深度学习的早期肝细胞癌标准化诊断及复发风险预测关键技术研究</w:t>
      </w:r>
    </w:p>
    <w:p w14:paraId="0FECE6EC">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早期肝细胞癌（HCC）与不典型增生结节等肝内小病灶表型高度重叠、单一影像模态诊断主观性强及标准化水平不足的临床痛点，依托肝细胞特异性对比剂多期相增强MRI、临床、随访一体化数据，基于深度学习驱动的多模态人工智能辅助影像分析技术，探索MRI全序列纹理特征、空间结构及动态强化信息的多维度表征与HCC恶性演进及术后复发的内在关联机制，构建早期HCC标准化鉴别与术后复发风险分层的一体化智能评估模型，开展多中心大样本（≥800例）临床研究。</w:t>
      </w:r>
    </w:p>
    <w:p w14:paraId="024046E2">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H018基于多模态定量MRI的代谢相关脂肪性肝病人群亚临床心肌损伤异质性机制及智能预警模型研究</w:t>
      </w:r>
    </w:p>
    <w:p w14:paraId="7781F128">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代谢相关脂肪性肝病人群亚临床心肌损伤个体异质性大、进展隐匿的痛点，基于脂代谢、体成分定量与心脏MRI多维度影像特征的跨模态融合技术，探索肝脏脂质紊乱经脂肪、肌肉组分介导心肌损伤的差异化机制，设计无监督聚类驱动的亚群分层与多模态特征筛选策略，构建机器学习智能风险预测模型，开展横断面分层验证与前瞻性随访的效能验证。。</w:t>
      </w:r>
    </w:p>
    <w:p w14:paraId="0B0203FF">
      <w:pPr>
        <w:pStyle w:val="9"/>
        <w:bidi w:val="0"/>
        <w:rPr>
          <w:rFonts w:hint="eastAsia" w:ascii="Nimbus Roman No9 L" w:hAnsi="Nimbus Roman No9 L"/>
          <w:lang w:eastAsia="zh-CN"/>
        </w:rPr>
      </w:pPr>
      <w:bookmarkStart w:id="2" w:name="_Toc2120120376"/>
    </w:p>
    <w:p w14:paraId="1C61051B">
      <w:pPr>
        <w:pStyle w:val="9"/>
        <w:bidi w:val="0"/>
        <w:rPr>
          <w:rFonts w:hint="eastAsia" w:ascii="Nimbus Roman No9 L" w:hAnsi="Nimbus Roman No9 L"/>
          <w:lang w:eastAsia="zh-CN"/>
        </w:rPr>
      </w:pPr>
    </w:p>
    <w:p w14:paraId="3AD8778C">
      <w:pPr>
        <w:pStyle w:val="9"/>
        <w:bidi w:val="0"/>
        <w:rPr>
          <w:rFonts w:hint="eastAsia" w:ascii="Nimbus Roman No9 L" w:hAnsi="Nimbus Roman No9 L"/>
          <w:lang w:eastAsia="zh-CN"/>
        </w:rPr>
      </w:pPr>
    </w:p>
    <w:p w14:paraId="10B6776B">
      <w:pPr>
        <w:pStyle w:val="9"/>
        <w:bidi w:val="0"/>
        <w:rPr>
          <w:rFonts w:hint="eastAsia" w:ascii="Nimbus Roman No9 L" w:hAnsi="Nimbus Roman No9 L"/>
          <w:lang w:eastAsia="zh-CN"/>
        </w:rPr>
      </w:pPr>
    </w:p>
    <w:p w14:paraId="37E8D566">
      <w:pPr>
        <w:pStyle w:val="9"/>
        <w:bidi w:val="0"/>
        <w:rPr>
          <w:rFonts w:hint="eastAsia" w:ascii="Nimbus Roman No9 L" w:hAnsi="Nimbus Roman No9 L"/>
          <w:lang w:eastAsia="zh-CN"/>
        </w:rPr>
      </w:pPr>
    </w:p>
    <w:p w14:paraId="4AEF0293">
      <w:pPr>
        <w:pStyle w:val="9"/>
        <w:bidi w:val="0"/>
        <w:rPr>
          <w:rFonts w:hint="eastAsia" w:ascii="Nimbus Roman No9 L" w:hAnsi="Nimbus Roman No9 L"/>
          <w:lang w:eastAsia="zh-CN"/>
        </w:rPr>
      </w:pPr>
    </w:p>
    <w:p w14:paraId="063EBCA8">
      <w:pPr>
        <w:pStyle w:val="9"/>
        <w:bidi w:val="0"/>
        <w:rPr>
          <w:rFonts w:hint="eastAsia" w:ascii="Nimbus Roman No9 L" w:hAnsi="Nimbus Roman No9 L"/>
          <w:lang w:eastAsia="zh-CN"/>
        </w:rPr>
      </w:pPr>
    </w:p>
    <w:p w14:paraId="365F7599">
      <w:pPr>
        <w:pStyle w:val="9"/>
        <w:bidi w:val="0"/>
        <w:rPr>
          <w:rFonts w:hint="eastAsia" w:ascii="Nimbus Roman No9 L" w:hAnsi="Nimbus Roman No9 L"/>
          <w:lang w:eastAsia="zh-CN"/>
        </w:rPr>
      </w:pPr>
    </w:p>
    <w:p w14:paraId="302CFB7D">
      <w:pPr>
        <w:pStyle w:val="9"/>
        <w:bidi w:val="0"/>
        <w:rPr>
          <w:rFonts w:hint="eastAsia" w:ascii="Nimbus Roman No9 L" w:hAnsi="Nimbus Roman No9 L"/>
          <w:lang w:eastAsia="zh-CN"/>
        </w:rPr>
      </w:pPr>
    </w:p>
    <w:p w14:paraId="008E0FE4">
      <w:pPr>
        <w:pStyle w:val="9"/>
        <w:bidi w:val="0"/>
        <w:rPr>
          <w:rFonts w:hint="eastAsia" w:ascii="Nimbus Roman No9 L" w:hAnsi="Nimbus Roman No9 L"/>
          <w:lang w:eastAsia="zh-CN"/>
        </w:rPr>
      </w:pPr>
    </w:p>
    <w:p w14:paraId="4D451D68">
      <w:pPr>
        <w:pStyle w:val="9"/>
        <w:bidi w:val="0"/>
        <w:rPr>
          <w:rFonts w:hint="eastAsia" w:ascii="Nimbus Roman No9 L" w:hAnsi="Nimbus Roman No9 L"/>
          <w:lang w:eastAsia="zh-CN"/>
        </w:rPr>
      </w:pPr>
    </w:p>
    <w:p w14:paraId="3A214C82">
      <w:pPr>
        <w:pStyle w:val="9"/>
        <w:bidi w:val="0"/>
        <w:rPr>
          <w:rFonts w:hint="eastAsia" w:ascii="Nimbus Roman No9 L" w:hAnsi="Nimbus Roman No9 L"/>
          <w:lang w:eastAsia="zh-CN"/>
        </w:rPr>
      </w:pPr>
    </w:p>
    <w:p w14:paraId="7BE06A94">
      <w:pPr>
        <w:pStyle w:val="9"/>
        <w:bidi w:val="0"/>
        <w:rPr>
          <w:rFonts w:hint="eastAsia" w:ascii="Nimbus Roman No9 L" w:hAnsi="Nimbus Roman No9 L"/>
          <w:lang w:eastAsia="zh-CN"/>
        </w:rPr>
      </w:pPr>
    </w:p>
    <w:p w14:paraId="4A18A40D">
      <w:pPr>
        <w:pStyle w:val="9"/>
        <w:bidi w:val="0"/>
        <w:rPr>
          <w:rFonts w:hint="eastAsia" w:ascii="Nimbus Roman No9 L" w:hAnsi="Nimbus Roman No9 L"/>
          <w:lang w:eastAsia="zh-CN"/>
        </w:rPr>
      </w:pPr>
    </w:p>
    <w:p w14:paraId="4E90B60C">
      <w:pPr>
        <w:pStyle w:val="9"/>
        <w:bidi w:val="0"/>
        <w:rPr>
          <w:rFonts w:hint="eastAsia" w:ascii="Nimbus Roman No9 L" w:hAnsi="Nimbus Roman No9 L"/>
          <w:lang w:eastAsia="zh-CN"/>
        </w:rPr>
      </w:pPr>
    </w:p>
    <w:p w14:paraId="1ED77AE3">
      <w:pPr>
        <w:pStyle w:val="9"/>
        <w:bidi w:val="0"/>
        <w:rPr>
          <w:rFonts w:hint="eastAsia" w:ascii="Nimbus Roman No9 L" w:hAnsi="Nimbus Roman No9 L"/>
          <w:lang w:eastAsia="zh-CN"/>
        </w:rPr>
      </w:pPr>
    </w:p>
    <w:p w14:paraId="1E272F5D">
      <w:pPr>
        <w:pStyle w:val="9"/>
        <w:bidi w:val="0"/>
        <w:rPr>
          <w:rFonts w:hint="eastAsia" w:ascii="Nimbus Roman No9 L" w:hAnsi="Nimbus Roman No9 L"/>
          <w:lang w:eastAsia="zh-CN"/>
        </w:rPr>
      </w:pPr>
      <w:r>
        <w:rPr>
          <w:rFonts w:hint="eastAsia" w:ascii="Nimbus Roman No9 L" w:hAnsi="Nimbus Roman No9 L"/>
          <w:lang w:eastAsia="zh-CN"/>
        </w:rPr>
        <w:t>三、天津市自然科学基金联合基金-人因智能项目</w:t>
      </w:r>
      <w:bookmarkEnd w:id="2"/>
    </w:p>
    <w:p w14:paraId="432682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楷体_GB2312" w:cs="楷体_GB2312"/>
          <w:b w:val="0"/>
          <w:bCs w:val="0"/>
          <w:color w:val="auto"/>
          <w:sz w:val="32"/>
          <w:szCs w:val="32"/>
          <w:lang w:val="en-US" w:eastAsia="zh-CN"/>
        </w:rPr>
      </w:pPr>
      <w:r>
        <w:rPr>
          <w:rFonts w:hint="eastAsia" w:ascii="Nimbus Roman No9 L" w:hAnsi="Nimbus Roman No9 L" w:eastAsia="楷体_GB2312" w:cs="楷体_GB2312"/>
          <w:b w:val="0"/>
          <w:bCs w:val="0"/>
          <w:color w:val="auto"/>
          <w:sz w:val="32"/>
          <w:szCs w:val="32"/>
          <w:lang w:val="en-US" w:eastAsia="zh-CN"/>
        </w:rPr>
        <w:t>1.研究目标</w:t>
      </w:r>
    </w:p>
    <w:p w14:paraId="3D1750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聚焦满足国家未来产业规划中关于人工智能、元宇宙、脑机接口、具身智能、智能交互、智能穿戴等领域关键科学问题，通过脑认知神经科学与心理学、人体测量与生物力学、具身智能与人形机器人、人工智能与智能交互、人机交互与用户体验、人因工程与工效学等多方向交叉融合，为国防军事、高端装备、人形机器人等产业科技创新及应用提供“以人为本”的设计范式与技术支撑。</w:t>
      </w:r>
    </w:p>
    <w:p w14:paraId="4C7E9E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拟支持重点项目6项；面上项目6项；青年项目10项。本专项成果知识产权由出资方与项目承担单位共享，共为权利人。</w:t>
      </w:r>
    </w:p>
    <w:p w14:paraId="1C463E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楷体_GB2312" w:cs="楷体_GB2312"/>
          <w:b w:val="0"/>
          <w:bCs w:val="0"/>
          <w:color w:val="auto"/>
          <w:sz w:val="32"/>
          <w:szCs w:val="32"/>
          <w:lang w:val="en-US" w:eastAsia="zh-CN"/>
        </w:rPr>
      </w:pPr>
      <w:r>
        <w:rPr>
          <w:rFonts w:hint="eastAsia" w:ascii="Nimbus Roman No9 L" w:hAnsi="Nimbus Roman No9 L" w:eastAsia="楷体_GB2312" w:cs="楷体_GB2312"/>
          <w:b w:val="0"/>
          <w:bCs w:val="0"/>
          <w:color w:val="auto"/>
          <w:sz w:val="32"/>
          <w:szCs w:val="32"/>
          <w:lang w:val="en-US" w:eastAsia="zh-CN"/>
        </w:rPr>
        <w:t>2.重点资助内容</w:t>
      </w:r>
    </w:p>
    <w:p w14:paraId="1DC2F02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Nimbus Roman No9 L" w:hAnsi="Nimbus Roman No9 L" w:eastAsia="仿宋_GB2312" w:cs="仿宋_GB2312"/>
          <w:b/>
          <w:bCs/>
          <w:color w:val="auto"/>
          <w:sz w:val="32"/>
          <w:szCs w:val="32"/>
          <w:lang w:val="en-US" w:eastAsia="zh-CN"/>
        </w:rPr>
      </w:pPr>
      <w:r>
        <w:rPr>
          <w:rFonts w:hint="eastAsia" w:ascii="Nimbus Roman No9 L" w:hAnsi="Nimbus Roman No9 L" w:eastAsia="仿宋_GB2312" w:cs="仿宋_GB2312"/>
          <w:b/>
          <w:bCs/>
          <w:color w:val="auto"/>
          <w:sz w:val="32"/>
          <w:szCs w:val="32"/>
          <w:lang w:val="en-US" w:eastAsia="zh-CN"/>
        </w:rPr>
        <w:t>2.1重点项目</w:t>
      </w:r>
    </w:p>
    <w:p w14:paraId="41A79A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J1基于非接触智能感知技术的长时程作业任务人因安全状态与风险预警研究</w:t>
      </w:r>
    </w:p>
    <w:p w14:paraId="1F29E4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本指南面向城市交通、轨道交通、地铁、民航、核电、电力、大型活动场所等典型作业场景中的长时程任务，针对关键岗位视觉搜索任务中认知负荷难以连续量化、疲劳累积隐蔽性强、跨个体差异影响模型泛化性等核心问题，基于某一行业关键岗位典型作业任务特征，采用非接触无感式多模态生理监测技术，构建融合语音情绪、生理信号、眼动追踪、面部表情、头部及肢体行为姿态分析等不少于4类多源非接触信号的人因安全状态监测体系；提取多模态信号时序特征，攻关注意涣散、视觉疲劳、认知负荷过载等核心状态的人因安全智能识别算法，实现跨被试、跨场景的人因安全状态识别；建立基于状态识别的人因风险辨识分级预警模型。构建覆盖典型作业场景的不少于20人的非接触多模态数据库，建立人因安全状态识别及风险预警模型，模型准确率85%以上。</w:t>
      </w:r>
    </w:p>
    <w:p w14:paraId="13D203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J2基于脑机接口技术的人因安全状态识别与风险辨识研究</w:t>
      </w:r>
    </w:p>
    <w:p w14:paraId="4086C1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本指南面向重点行业（石油、化工、天然气行业，冶金、有色行业，非煤矿山，电力，船舶，汽车，地铁，建筑，煤矿等）典型工业场景，开展基于多模态脑机接口技术的职业群体人因安全状态识别与风险辨识技术研究。面向以上工业场景的不少于一种典型作业人群，基于多模态脑机接口技术，研究人因安全状态（如：注意、负荷、疲劳、晕厥等意识状态）识别智能算法，建立人因风险辨识分级预警模型。构建不少于20人的多模态脑机接口数据库和人因安全状态智能识别模型各1个，模型准确度90%以上。</w:t>
      </w:r>
    </w:p>
    <w:p w14:paraId="36B3EA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J3基于智能驾驶任务的人因工程与用户体验测评体系研究</w:t>
      </w:r>
    </w:p>
    <w:p w14:paraId="221272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智能座舱多模态交互（语音、手势、眼动、触控）引发的用户认知负荷非线性波动、注意力资源分配失衡及人机接管过程中信任度动态变化等关键科学问题，基于真实车辆或者模拟驾驶过程中驾驶人面部表情、脑电、近红外脑成像、眼动、生理信号等多模态数据，构建涵盖安全性、可用性、智能化水平及用户满意度等多维度的智能座舱人机交互主客观评价指标体系，搭建人因工程与用户体验评测模型。建立包含不少于20名被试、多典型任务场景、跨被试的多模态数据库及实时人因工程与用户体验评测模型各1套，实现驾驶安全性状态识别模型准确率85%以上。</w:t>
      </w:r>
    </w:p>
    <w:p w14:paraId="43ECF70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Nimbus Roman No9 L" w:hAnsi="Nimbus Roman No9 L" w:eastAsia="仿宋_GB2312" w:cs="仿宋_GB2312"/>
          <w:b/>
          <w:bCs/>
          <w:color w:val="auto"/>
          <w:sz w:val="32"/>
          <w:szCs w:val="32"/>
          <w:lang w:val="en-US" w:eastAsia="zh-CN"/>
        </w:rPr>
      </w:pPr>
      <w:r>
        <w:rPr>
          <w:rFonts w:hint="eastAsia" w:ascii="Nimbus Roman No9 L" w:hAnsi="Nimbus Roman No9 L" w:eastAsia="仿宋_GB2312" w:cs="仿宋_GB2312"/>
          <w:b/>
          <w:bCs/>
          <w:color w:val="auto"/>
          <w:sz w:val="32"/>
          <w:szCs w:val="32"/>
          <w:lang w:val="en-US" w:eastAsia="zh-CN"/>
        </w:rPr>
        <w:t>2.2面上项目</w:t>
      </w:r>
    </w:p>
    <w:p w14:paraId="2C9C47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A2101基于多模态脑机接口的混合智能意图解码研究</w:t>
      </w:r>
    </w:p>
    <w:p w14:paraId="6ECAA3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单一指标脑机接口在意图解码中泛化性差、准确率低等问题，开展基于多模态脑信号（EEG-fNIRS）与表面肌电信号融合的混合脑机智能意图解码技术研究。探索运动想象、运动执行等不同认知状态下多模态脑信号时频特征与外周肌肉激活特征的时空耦合规律；构建基于多模态脑机接口（EEG-fNIRS+sEMG）的意图识别模型；结合人工智能迁移学习等算法，提高模型精度与泛化能力。构建不少于20人的多模态脑电-肌电同步数据库和多模态脑-肌融合意图识别模型各1个，模型准确度85%以上。</w:t>
      </w:r>
    </w:p>
    <w:p w14:paraId="345275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A2102面向表面肌电手势解码的人机交互技术研究</w:t>
      </w:r>
    </w:p>
    <w:p w14:paraId="2A6165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面向智能产品交互控制、可穿戴设备交互、AR/VR虚实融合交互等典型人机交互场景，开展基于表面肌电与惯性传感融合的神经运动意图解码与少样本自适应方法研究。解析跨用户手势解码中共有的神经生理信号特征，揭示肌肉协同基向量的跨个体共性及其对手势类别的编码规律，创建表面肌电与惯性传感融合的实时手势运动人机交互识别模型。构建不少于20人的手势数据库（覆盖不少于16类手势），建立跨用户泛型手势解码基础模型，分类准确率90%以上，识别响应时间100ms；建立少样本自适应校准方法。</w:t>
      </w:r>
    </w:p>
    <w:p w14:paraId="43CD908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Nimbus Roman No9 L" w:hAnsi="Nimbus Roman No9 L" w:eastAsia="仿宋_GB2312" w:cs="仿宋_GB2312"/>
          <w:b/>
          <w:bCs/>
          <w:color w:val="auto"/>
          <w:sz w:val="32"/>
          <w:szCs w:val="32"/>
          <w:lang w:val="en-US" w:eastAsia="zh-CN"/>
        </w:rPr>
      </w:pPr>
      <w:r>
        <w:rPr>
          <w:rFonts w:hint="eastAsia" w:ascii="Nimbus Roman No9 L" w:hAnsi="Nimbus Roman No9 L" w:eastAsia="仿宋_GB2312" w:cs="仿宋_GB2312"/>
          <w:b/>
          <w:bCs/>
          <w:color w:val="auto"/>
          <w:sz w:val="32"/>
          <w:szCs w:val="32"/>
          <w:lang w:val="en-US" w:eastAsia="zh-CN"/>
        </w:rPr>
        <w:t>2.3青年项目</w:t>
      </w:r>
    </w:p>
    <w:p w14:paraId="12AC6A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A2103大语言模型驱动的脑电情绪识别智能监测技术与方法研究</w:t>
      </w:r>
    </w:p>
    <w:p w14:paraId="598887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利用脑电识别情绪中实时性不足、跨个体泛化弱、输出可解释性差的核心问题，开展大语言模型驱动的脑电情绪识别技术与方法研究。基于脑电情绪数据集提取情绪加工相关的时域、频域、时频域及功能连接特征，建立情绪状态评估的脑电神经特征指标体系；研究基于大语言模型的脑电情绪识别算法，实现基于脑电信号对不少于4类情绪状态（高兴、悲伤、愤怒、放松/中性）的实时识别与反馈；研究基于识别结果自动生成个性化情绪分析报告与辅助建议的方法。构建不少于20人的脑电情绪数据库及情绪识别模型，实时准确度85%，并在不少于2个公开脑电情绪数据集上完成验证。</w:t>
      </w:r>
    </w:p>
    <w:p w14:paraId="203430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A2104基于大语言模型与脑电信号融合的认知状态自适应人机交互技术与方法研究</w:t>
      </w:r>
    </w:p>
    <w:p w14:paraId="6ED44C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面向智能人机交互场景，开展基于脑电信号的认知状态感知自适应人机交互技术与方法研究。设计面向大语言模型交互的认知任务范式，同步采集脑电信号，提取注意、认知负荷、情绪效价等神经指标，建立大语言模型交互过程中认知状态量化评估体系；研究轻量级脑电时序编码与大语言模型的融合架构，实现不少于5种认知状态（高度专注、稳定专注、注意力下降、认知过载、认知疲劳）的毫秒级在线识别；研究认知状态感知的差异化大语言模型响应策略。建立大语言模型交互认知状态脑电指标体系，基于该体系构建不少于20人的大语言模型-脑电认知数据库，构建脑电驱动的认知状态实时分类模型（分类准确率≥85%），并在典型大语言模型交互任务中完成验证。</w:t>
      </w:r>
    </w:p>
    <w:p w14:paraId="4CF9D47B">
      <w:pPr>
        <w:pStyle w:val="9"/>
        <w:bidi w:val="0"/>
        <w:rPr>
          <w:rFonts w:hint="eastAsia" w:ascii="Nimbus Roman No9 L" w:hAnsi="Nimbus Roman No9 L"/>
          <w:lang w:eastAsia="zh-CN"/>
        </w:rPr>
      </w:pPr>
      <w:bookmarkStart w:id="3" w:name="_Toc474431979"/>
    </w:p>
    <w:p w14:paraId="1A115C2A">
      <w:pPr>
        <w:pStyle w:val="9"/>
        <w:bidi w:val="0"/>
        <w:rPr>
          <w:rFonts w:hint="eastAsia" w:ascii="Nimbus Roman No9 L" w:hAnsi="Nimbus Roman No9 L"/>
          <w:lang w:eastAsia="zh-CN"/>
        </w:rPr>
      </w:pPr>
    </w:p>
    <w:p w14:paraId="532B60D9">
      <w:pPr>
        <w:pStyle w:val="9"/>
        <w:bidi w:val="0"/>
        <w:rPr>
          <w:rFonts w:hint="eastAsia" w:ascii="Nimbus Roman No9 L" w:hAnsi="Nimbus Roman No9 L"/>
          <w:lang w:eastAsia="zh-CN"/>
        </w:rPr>
      </w:pPr>
    </w:p>
    <w:p w14:paraId="4953843E">
      <w:pPr>
        <w:pStyle w:val="9"/>
        <w:bidi w:val="0"/>
        <w:rPr>
          <w:rFonts w:hint="eastAsia" w:ascii="Nimbus Roman No9 L" w:hAnsi="Nimbus Roman No9 L"/>
          <w:lang w:eastAsia="zh-CN"/>
        </w:rPr>
      </w:pPr>
    </w:p>
    <w:p w14:paraId="63CCF489">
      <w:pPr>
        <w:pStyle w:val="9"/>
        <w:bidi w:val="0"/>
        <w:rPr>
          <w:rFonts w:hint="eastAsia" w:ascii="Nimbus Roman No9 L" w:hAnsi="Nimbus Roman No9 L"/>
          <w:lang w:eastAsia="zh-CN"/>
        </w:rPr>
      </w:pPr>
    </w:p>
    <w:p w14:paraId="6453098A">
      <w:pPr>
        <w:pStyle w:val="9"/>
        <w:bidi w:val="0"/>
        <w:rPr>
          <w:rFonts w:hint="eastAsia" w:ascii="Nimbus Roman No9 L" w:hAnsi="Nimbus Roman No9 L"/>
          <w:lang w:eastAsia="zh-CN"/>
        </w:rPr>
      </w:pPr>
    </w:p>
    <w:p w14:paraId="680D102F">
      <w:pPr>
        <w:pStyle w:val="9"/>
        <w:bidi w:val="0"/>
        <w:rPr>
          <w:rFonts w:hint="eastAsia" w:ascii="Nimbus Roman No9 L" w:hAnsi="Nimbus Roman No9 L"/>
          <w:lang w:eastAsia="zh-CN"/>
        </w:rPr>
      </w:pPr>
    </w:p>
    <w:p w14:paraId="4DDAC50A">
      <w:pPr>
        <w:pStyle w:val="9"/>
        <w:bidi w:val="0"/>
        <w:rPr>
          <w:rFonts w:hint="eastAsia" w:ascii="Nimbus Roman No9 L" w:hAnsi="Nimbus Roman No9 L"/>
          <w:lang w:eastAsia="zh-CN"/>
        </w:rPr>
      </w:pPr>
    </w:p>
    <w:p w14:paraId="5F729049">
      <w:pPr>
        <w:pStyle w:val="9"/>
        <w:bidi w:val="0"/>
        <w:rPr>
          <w:rFonts w:hint="eastAsia" w:ascii="Nimbus Roman No9 L" w:hAnsi="Nimbus Roman No9 L"/>
          <w:lang w:eastAsia="zh-CN"/>
        </w:rPr>
      </w:pPr>
    </w:p>
    <w:p w14:paraId="42099BA4">
      <w:pPr>
        <w:pStyle w:val="9"/>
        <w:bidi w:val="0"/>
        <w:rPr>
          <w:rFonts w:hint="eastAsia" w:ascii="Nimbus Roman No9 L" w:hAnsi="Nimbus Roman No9 L"/>
          <w:lang w:eastAsia="zh-CN"/>
        </w:rPr>
      </w:pPr>
    </w:p>
    <w:p w14:paraId="31986773">
      <w:pPr>
        <w:pStyle w:val="9"/>
        <w:bidi w:val="0"/>
        <w:rPr>
          <w:rFonts w:hint="eastAsia" w:ascii="Nimbus Roman No9 L" w:hAnsi="Nimbus Roman No9 L"/>
          <w:lang w:eastAsia="zh-CN"/>
        </w:rPr>
      </w:pPr>
    </w:p>
    <w:p w14:paraId="0BED2BBC">
      <w:pPr>
        <w:pStyle w:val="9"/>
        <w:bidi w:val="0"/>
        <w:rPr>
          <w:rFonts w:hint="eastAsia" w:ascii="Nimbus Roman No9 L" w:hAnsi="Nimbus Roman No9 L"/>
          <w:lang w:eastAsia="zh-CN"/>
        </w:rPr>
      </w:pPr>
    </w:p>
    <w:p w14:paraId="5A851D52">
      <w:pPr>
        <w:pStyle w:val="9"/>
        <w:bidi w:val="0"/>
        <w:rPr>
          <w:rFonts w:hint="eastAsia" w:ascii="Nimbus Roman No9 L" w:hAnsi="Nimbus Roman No9 L"/>
          <w:lang w:eastAsia="zh-CN"/>
        </w:rPr>
      </w:pPr>
    </w:p>
    <w:p w14:paraId="39CBE66D">
      <w:pPr>
        <w:pStyle w:val="9"/>
        <w:bidi w:val="0"/>
        <w:rPr>
          <w:rFonts w:hint="eastAsia" w:ascii="Nimbus Roman No9 L" w:hAnsi="Nimbus Roman No9 L"/>
          <w:lang w:eastAsia="zh-CN"/>
        </w:rPr>
      </w:pPr>
    </w:p>
    <w:p w14:paraId="1769E812">
      <w:pPr>
        <w:pStyle w:val="9"/>
        <w:bidi w:val="0"/>
        <w:rPr>
          <w:rFonts w:hint="eastAsia" w:ascii="Nimbus Roman No9 L" w:hAnsi="Nimbus Roman No9 L"/>
          <w:lang w:eastAsia="zh-CN"/>
        </w:rPr>
      </w:pPr>
      <w:r>
        <w:rPr>
          <w:rFonts w:hint="eastAsia" w:ascii="Nimbus Roman No9 L" w:hAnsi="Nimbus Roman No9 L"/>
          <w:lang w:eastAsia="zh-CN"/>
        </w:rPr>
        <w:t>四、天津市自然科学基金联合基金-城乡消防安全项目</w:t>
      </w:r>
      <w:bookmarkEnd w:id="3"/>
    </w:p>
    <w:p w14:paraId="449786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楷体_GB2312" w:cs="楷体_GB2312"/>
          <w:b w:val="0"/>
          <w:bCs w:val="0"/>
          <w:color w:val="auto"/>
          <w:sz w:val="32"/>
          <w:szCs w:val="32"/>
          <w:lang w:val="en-US" w:eastAsia="zh-CN"/>
        </w:rPr>
      </w:pPr>
      <w:r>
        <w:rPr>
          <w:rFonts w:hint="eastAsia" w:ascii="Nimbus Roman No9 L" w:hAnsi="Nimbus Roman No9 L" w:eastAsia="楷体_GB2312" w:cs="楷体_GB2312"/>
          <w:b w:val="0"/>
          <w:bCs w:val="0"/>
          <w:color w:val="auto"/>
          <w:sz w:val="32"/>
          <w:szCs w:val="32"/>
          <w:lang w:val="en-US" w:eastAsia="zh-CN"/>
        </w:rPr>
        <w:t>1.研究目标</w:t>
      </w:r>
    </w:p>
    <w:p w14:paraId="2C5535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聚焦我市消防领域核心科学问题，从天津市消防安全产业的科技实践出发，以提升城乡消防安全科技支撑能力、防灾减灾救灾能力及应急救援能力为主线，开展相关应用基础研究，推进天津市消防安全产业的创新发展和韧性城市建设。</w:t>
      </w:r>
    </w:p>
    <w:p w14:paraId="5DFDB7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拟支持重点项目8项；面上项目5项；青年项目5项。本专项成果知识产权由出资方与项目承担单位共享，共为权利人。</w:t>
      </w:r>
    </w:p>
    <w:p w14:paraId="0C9E9A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楷体_GB2312" w:cs="楷体_GB2312"/>
          <w:b w:val="0"/>
          <w:bCs w:val="0"/>
          <w:color w:val="auto"/>
          <w:sz w:val="32"/>
          <w:szCs w:val="32"/>
          <w:lang w:val="en-US" w:eastAsia="zh-CN"/>
        </w:rPr>
      </w:pPr>
      <w:r>
        <w:rPr>
          <w:rFonts w:hint="eastAsia" w:ascii="Nimbus Roman No9 L" w:hAnsi="Nimbus Roman No9 L" w:eastAsia="楷体_GB2312" w:cs="楷体_GB2312"/>
          <w:b w:val="0"/>
          <w:bCs w:val="0"/>
          <w:color w:val="auto"/>
          <w:sz w:val="32"/>
          <w:szCs w:val="32"/>
          <w:lang w:val="en-US" w:eastAsia="zh-CN"/>
        </w:rPr>
        <w:t>2.重点资助内容</w:t>
      </w:r>
    </w:p>
    <w:p w14:paraId="6C84790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Nimbus Roman No9 L" w:hAnsi="Nimbus Roman No9 L" w:eastAsia="仿宋_GB2312" w:cs="仿宋_GB2312"/>
          <w:b/>
          <w:bCs/>
          <w:color w:val="auto"/>
          <w:sz w:val="32"/>
          <w:szCs w:val="32"/>
          <w:lang w:val="en-US" w:eastAsia="zh-CN"/>
        </w:rPr>
      </w:pPr>
      <w:r>
        <w:rPr>
          <w:rFonts w:hint="eastAsia" w:ascii="Nimbus Roman No9 L" w:hAnsi="Nimbus Roman No9 L" w:eastAsia="仿宋_GB2312" w:cs="仿宋_GB2312"/>
          <w:b/>
          <w:bCs/>
          <w:color w:val="auto"/>
          <w:sz w:val="32"/>
          <w:szCs w:val="32"/>
          <w:lang w:val="en-US" w:eastAsia="zh-CN"/>
        </w:rPr>
        <w:t>2.1重点项目</w:t>
      </w:r>
    </w:p>
    <w:p w14:paraId="769362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K01优先资助地下隧道火灾烟气运动为主要方向的科学立项，鼓励开展隧道网络中分流隧道、汇流隧道、渐变段等特殊隧道结构对火灾蔓延影响机理，隧道中排烟方式与烟气运动相互影响规律的应用基础研究；</w:t>
      </w:r>
    </w:p>
    <w:p w14:paraId="443EE6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K02优先资助以提升超高层建筑快速供液灭火能力为主要方向的科学立项，鼓励开展压缩空气泡沫垂直长距离管道输送及灭火系统性能优化的应用基础研究；</w:t>
      </w:r>
    </w:p>
    <w:p w14:paraId="62699E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K03优先资助既有高层建筑钢结构防火涂料性能评测为主要方向的科学立项，鼓励开展钢结构防火涂料服役周期耐火性能衰减机理、现场快速评价的应用基础研究；</w:t>
      </w:r>
    </w:p>
    <w:p w14:paraId="1CB131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K04优先资助以消防救援头盔用轻质高强复合材料为主要方向的科学立项，鼓励开展生物基纤维异质界面浸润固化机理，复合材料阻燃改性及抗冲击机制的应用基础研究。</w:t>
      </w:r>
    </w:p>
    <w:p w14:paraId="6B104F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K05优先资助室内锂离子电池储能火灾高效防控为主要方向的科研立项，鼓励开展基于实体试验的储能火灾蔓延机理与高效灭火方法的应用基础研究；</w:t>
      </w:r>
    </w:p>
    <w:p w14:paraId="026F20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K06优先资助以电气火灾超前感知预警与溯源分析为主要方向的科学立项，鼓励开展基于实体试验的高频电流信号规律解析与早期故障精准溯源方法的应用基础研究；</w:t>
      </w:r>
    </w:p>
    <w:p w14:paraId="5EA235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K07优先资助以森林与城镇交界域火灾演化规律和防控技术为主要方向的科学立项，鼓励开展下山型地表火蔓延机理及临界阈值判定、飞火颗粒形成机理与预测、极端火行为诱发建筑火灾的引燃机理的应用基础研究；</w:t>
      </w:r>
    </w:p>
    <w:p w14:paraId="0027E5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K08优先资助气体灭火介质相变传质与湍流扩散规律为主要方向的科学立项，鼓励开展高沸点环境友好气体灭火剂的释放雾化特性、保护空间内气化特性及扩散机制的应用基础研究。</w:t>
      </w:r>
    </w:p>
    <w:p w14:paraId="2AFA218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Nimbus Roman No9 L" w:hAnsi="Nimbus Roman No9 L" w:eastAsia="仿宋_GB2312" w:cs="仿宋_GB2312"/>
          <w:b/>
          <w:bCs/>
          <w:color w:val="auto"/>
          <w:sz w:val="32"/>
          <w:szCs w:val="32"/>
          <w:lang w:val="en-US" w:eastAsia="zh-CN"/>
        </w:rPr>
      </w:pPr>
      <w:r>
        <w:rPr>
          <w:rFonts w:hint="eastAsia" w:ascii="Nimbus Roman No9 L" w:hAnsi="Nimbus Roman No9 L" w:eastAsia="仿宋_GB2312" w:cs="仿宋_GB2312"/>
          <w:b/>
          <w:bCs/>
          <w:color w:val="auto"/>
          <w:sz w:val="32"/>
          <w:szCs w:val="32"/>
          <w:lang w:val="en-US" w:eastAsia="zh-CN"/>
        </w:rPr>
        <w:t>2.2面上项目</w:t>
      </w:r>
    </w:p>
    <w:p w14:paraId="7DEA86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A2201建筑构件对历史风貌建筑火灾发展影响和作用机制的应用基础研究；</w:t>
      </w:r>
    </w:p>
    <w:p w14:paraId="5D986A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A2202粘弹性表面活性剂自组装行为及其对无氟泡沫灭火剂关键性能影响作用规律的应用基础研究；</w:t>
      </w:r>
    </w:p>
    <w:p w14:paraId="743F6C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A2203复杂受限空间中火灾声纹特征解耦与自适应识别方法的应用基础研究；</w:t>
      </w:r>
    </w:p>
    <w:p w14:paraId="5E9CD7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A2204消防员防护服用无氟多孔膜复合纺织品设计及孔道调控机理的应用基础研究；</w:t>
      </w:r>
    </w:p>
    <w:p w14:paraId="006009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A2205基于情感脑机接口技术的消防员情绪神经振荡变化规律、检测评估模型与干预技术的应用基础研究。</w:t>
      </w:r>
    </w:p>
    <w:p w14:paraId="206CBD8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Nimbus Roman No9 L" w:hAnsi="Nimbus Roman No9 L" w:eastAsia="仿宋_GB2312" w:cs="仿宋_GB2312"/>
          <w:b/>
          <w:bCs/>
          <w:color w:val="auto"/>
          <w:sz w:val="32"/>
          <w:szCs w:val="32"/>
          <w:lang w:val="en-US" w:eastAsia="zh-CN"/>
        </w:rPr>
      </w:pPr>
      <w:r>
        <w:rPr>
          <w:rFonts w:hint="eastAsia" w:ascii="Nimbus Roman No9 L" w:hAnsi="Nimbus Roman No9 L" w:eastAsia="仿宋_GB2312" w:cs="仿宋_GB2312"/>
          <w:b/>
          <w:bCs/>
          <w:color w:val="auto"/>
          <w:sz w:val="32"/>
          <w:szCs w:val="32"/>
          <w:lang w:val="en-US" w:eastAsia="zh-CN"/>
        </w:rPr>
        <w:t>2.3青年项目</w:t>
      </w:r>
    </w:p>
    <w:p w14:paraId="285841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A2206基于实时运行状态与故障数据的消防供水可靠性监测预警及动态运维决策技术的应用基础研究；</w:t>
      </w:r>
    </w:p>
    <w:p w14:paraId="38F4D6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A2207膨胀型防火涂料炭层演化多维热响应数值模拟及预测的应用基础研究；</w:t>
      </w:r>
    </w:p>
    <w:p w14:paraId="18C800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A2208基于人工智能的灭火凝胶优化设计与火场温度响应机制的应用基础研究；</w:t>
      </w:r>
    </w:p>
    <w:p w14:paraId="04F2BA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A2209环保型高效气体灭火剂分子设计、大气降解及灭火性能的应用基础研究；</w:t>
      </w:r>
    </w:p>
    <w:p w14:paraId="1128D4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A2210复杂水域救援场景下舟艇动态运动特征提取与全状态量化评估的应用基础研究。</w:t>
      </w:r>
    </w:p>
    <w:p w14:paraId="726BCF56">
      <w:pPr>
        <w:pStyle w:val="9"/>
        <w:bidi w:val="0"/>
        <w:rPr>
          <w:rFonts w:hint="eastAsia" w:ascii="Nimbus Roman No9 L" w:hAnsi="Nimbus Roman No9 L"/>
          <w:lang w:eastAsia="zh-CN"/>
        </w:rPr>
      </w:pPr>
      <w:bookmarkStart w:id="4" w:name="_Toc1532039533"/>
    </w:p>
    <w:p w14:paraId="4F6380B5">
      <w:pPr>
        <w:pStyle w:val="9"/>
        <w:bidi w:val="0"/>
        <w:rPr>
          <w:rFonts w:hint="eastAsia" w:ascii="Nimbus Roman No9 L" w:hAnsi="Nimbus Roman No9 L"/>
          <w:lang w:eastAsia="zh-CN"/>
        </w:rPr>
      </w:pPr>
    </w:p>
    <w:p w14:paraId="33799528">
      <w:pPr>
        <w:pStyle w:val="9"/>
        <w:bidi w:val="0"/>
        <w:rPr>
          <w:rFonts w:hint="eastAsia" w:ascii="Nimbus Roman No9 L" w:hAnsi="Nimbus Roman No9 L"/>
          <w:lang w:eastAsia="zh-CN"/>
        </w:rPr>
      </w:pPr>
    </w:p>
    <w:p w14:paraId="709A6C72">
      <w:pPr>
        <w:pStyle w:val="9"/>
        <w:bidi w:val="0"/>
        <w:rPr>
          <w:rFonts w:hint="eastAsia" w:ascii="Nimbus Roman No9 L" w:hAnsi="Nimbus Roman No9 L"/>
          <w:lang w:eastAsia="zh-CN"/>
        </w:rPr>
      </w:pPr>
    </w:p>
    <w:p w14:paraId="632C824F">
      <w:pPr>
        <w:pStyle w:val="9"/>
        <w:bidi w:val="0"/>
        <w:rPr>
          <w:rFonts w:hint="eastAsia" w:ascii="Nimbus Roman No9 L" w:hAnsi="Nimbus Roman No9 L"/>
          <w:lang w:eastAsia="zh-CN"/>
        </w:rPr>
      </w:pPr>
    </w:p>
    <w:p w14:paraId="1530BB64">
      <w:pPr>
        <w:pStyle w:val="9"/>
        <w:bidi w:val="0"/>
        <w:rPr>
          <w:rFonts w:hint="eastAsia" w:ascii="Nimbus Roman No9 L" w:hAnsi="Nimbus Roman No9 L"/>
          <w:lang w:eastAsia="zh-CN"/>
        </w:rPr>
      </w:pPr>
    </w:p>
    <w:p w14:paraId="58B4A674">
      <w:pPr>
        <w:pStyle w:val="9"/>
        <w:bidi w:val="0"/>
        <w:rPr>
          <w:rFonts w:hint="eastAsia" w:ascii="Nimbus Roman No9 L" w:hAnsi="Nimbus Roman No9 L"/>
          <w:lang w:eastAsia="zh-CN"/>
        </w:rPr>
      </w:pPr>
    </w:p>
    <w:p w14:paraId="38D9FD71">
      <w:pPr>
        <w:pStyle w:val="9"/>
        <w:bidi w:val="0"/>
        <w:rPr>
          <w:rFonts w:hint="eastAsia" w:ascii="Nimbus Roman No9 L" w:hAnsi="Nimbus Roman No9 L"/>
          <w:lang w:eastAsia="zh-CN"/>
        </w:rPr>
      </w:pPr>
    </w:p>
    <w:p w14:paraId="0935EA73">
      <w:pPr>
        <w:pStyle w:val="9"/>
        <w:bidi w:val="0"/>
        <w:rPr>
          <w:rFonts w:hint="eastAsia" w:ascii="Nimbus Roman No9 L" w:hAnsi="Nimbus Roman No9 L"/>
          <w:lang w:eastAsia="zh-CN"/>
        </w:rPr>
      </w:pPr>
      <w:r>
        <w:rPr>
          <w:rFonts w:hint="eastAsia" w:ascii="Nimbus Roman No9 L" w:hAnsi="Nimbus Roman No9 L"/>
          <w:lang w:eastAsia="zh-CN"/>
        </w:rPr>
        <w:t>五、天津市自然科学基金联合基金-海洋油气与新能源工程安全项目</w:t>
      </w:r>
      <w:bookmarkEnd w:id="4"/>
    </w:p>
    <w:p w14:paraId="37C4067C">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楷体_GB2312" w:cs="楷体_GB2312"/>
          <w:b w:val="0"/>
          <w:bCs w:val="0"/>
          <w:color w:val="auto"/>
          <w:sz w:val="32"/>
          <w:szCs w:val="32"/>
          <w:lang w:val="en-US" w:eastAsia="zh-CN"/>
        </w:rPr>
      </w:pPr>
      <w:r>
        <w:rPr>
          <w:rFonts w:hint="eastAsia" w:ascii="Nimbus Roman No9 L" w:hAnsi="Nimbus Roman No9 L" w:eastAsia="楷体_GB2312" w:cs="楷体_GB2312"/>
          <w:b w:val="0"/>
          <w:bCs w:val="0"/>
          <w:color w:val="auto"/>
          <w:sz w:val="32"/>
          <w:szCs w:val="32"/>
          <w:lang w:val="en-US" w:eastAsia="zh-CN"/>
        </w:rPr>
        <w:t>1.研究目标</w:t>
      </w:r>
    </w:p>
    <w:p w14:paraId="12287B70">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立足国家能源安全、海洋强国、科技强国战略大局，围绕前瞻性基础研究与理论创新，以培育海洋新质生产力与支撑天津市海洋经济高质量发展为目标，面向海洋油气工程与海上新能源工程安全领域关键基础科学与技术问题，通过海洋工程、土木工程、材料工程、安全工程、化学工程、机械工程、人工智能等学科的交叉融合，聚焦机理研究、机制突破、模式变革、方法创新，助力形成“原理-技术-装备-产业”完整创新体系，为海洋油气工程与海上新能源工程安全领域的新质生产力打造提供核心源头创新支撑。</w:t>
      </w:r>
    </w:p>
    <w:p w14:paraId="27D2542C">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拟支持重点项目7项；面上项目4项；青年项目10项。本专项成果知识产权由出资方与项目承担单位共享，共为权利人。</w:t>
      </w:r>
    </w:p>
    <w:p w14:paraId="42F8708D">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楷体_GB2312" w:cs="楷体_GB2312"/>
          <w:b w:val="0"/>
          <w:bCs w:val="0"/>
          <w:color w:val="auto"/>
          <w:sz w:val="32"/>
          <w:szCs w:val="32"/>
          <w:lang w:val="en-US" w:eastAsia="zh-CN"/>
        </w:rPr>
      </w:pPr>
      <w:r>
        <w:rPr>
          <w:rFonts w:hint="eastAsia" w:ascii="Nimbus Roman No9 L" w:hAnsi="Nimbus Roman No9 L" w:eastAsia="楷体_GB2312" w:cs="楷体_GB2312"/>
          <w:b w:val="0"/>
          <w:bCs w:val="0"/>
          <w:color w:val="auto"/>
          <w:sz w:val="32"/>
          <w:szCs w:val="32"/>
          <w:lang w:val="en-US" w:eastAsia="zh-CN"/>
        </w:rPr>
        <w:t>2.重点资助内容</w:t>
      </w:r>
    </w:p>
    <w:p w14:paraId="21CBAA46">
      <w:pPr>
        <w:pStyle w:val="2"/>
        <w:keepNext w:val="0"/>
        <w:keepLines w:val="0"/>
        <w:pageBreakBefore w:val="0"/>
        <w:widowControl w:val="0"/>
        <w:kinsoku/>
        <w:wordWrap/>
        <w:overflowPunct/>
        <w:topLinePunct w:val="0"/>
        <w:autoSpaceDE/>
        <w:autoSpaceDN/>
        <w:bidi w:val="0"/>
        <w:adjustRightInd/>
        <w:snapToGrid/>
        <w:spacing w:after="0" w:line="560" w:lineRule="exact"/>
        <w:ind w:firstLine="643" w:firstLineChars="200"/>
        <w:textAlignment w:val="auto"/>
        <w:rPr>
          <w:rFonts w:hint="eastAsia" w:ascii="Nimbus Roman No9 L" w:hAnsi="Nimbus Roman No9 L" w:eastAsia="仿宋_GB2312" w:cs="仿宋_GB2312"/>
          <w:b/>
          <w:bCs/>
          <w:color w:val="auto"/>
          <w:sz w:val="32"/>
          <w:szCs w:val="32"/>
          <w:lang w:val="en-US" w:eastAsia="zh-CN"/>
        </w:rPr>
      </w:pPr>
      <w:r>
        <w:rPr>
          <w:rFonts w:hint="eastAsia" w:ascii="Nimbus Roman No9 L" w:hAnsi="Nimbus Roman No9 L" w:eastAsia="仿宋_GB2312" w:cs="仿宋_GB2312"/>
          <w:b/>
          <w:bCs/>
          <w:color w:val="auto"/>
          <w:sz w:val="32"/>
          <w:szCs w:val="32"/>
          <w:lang w:val="en-US" w:eastAsia="zh-CN"/>
        </w:rPr>
        <w:t>2.1重点项目</w:t>
      </w:r>
    </w:p>
    <w:p w14:paraId="351D90AC">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L01海洋工程结构设计分析模型协同转换机制研究</w:t>
      </w:r>
    </w:p>
    <w:p w14:paraId="7F982536">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海洋工程结构三维建模、仿真计算所面临的重复建模效率低以及CAD-CAE上下游对接难等问题，研究基于统一信息模型的海洋工程结构设计分析模型协同转换算法，阐明CAD模型与CAE模型双向转换机制，建立统一、自主海洋工程结构数据标准与海洋工程结构CAX一体化设计指南。</w:t>
      </w:r>
    </w:p>
    <w:p w14:paraId="0448E3B1">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L02面向综合能源时序数据的可信智能治理与联邦协同建模方法研究</w:t>
      </w:r>
    </w:p>
    <w:p w14:paraId="3E63D44F">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围绕工业多源时序数据的治理需求，研究高噪声环境下的多模态数据质量增强与治理方法。建立多主体协作的分布式可信数据共享机制。构建跨设备、跨工序联邦学习框架，提升模型泛化能力与鲁棒性。开展基于多模型融合的工业能效智能评估与闭环治理研究，实现从异常检测、泄漏定位到工艺自诊断的智能化决策支持，为海洋工程智能工厂打通从数据治理到业务增值的可信闭环提供关键技术支撑。</w:t>
      </w:r>
    </w:p>
    <w:p w14:paraId="482C85FC">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L03考虑海床浅表土体参数不确定性的水下设施浅基础AI驱动鲁棒性设计方法研究</w:t>
      </w:r>
    </w:p>
    <w:p w14:paraId="7765D39E">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水下浅基础设计中土体参数不确定性带来的挑战，提出一种AI驱动的鲁棒性设计方法。构建水下不均匀土层的参数概率模型，并耦合学习代理模型算法与可靠性分析，量化基础性能的风险。开发具备自动搜寻功能的最优算法。形成一套兼顾经济性与鲁棒性的水下设施浅基础智能设计标准。</w:t>
      </w:r>
    </w:p>
    <w:p w14:paraId="6FA33DFD">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L04复杂环境载荷下近海海域埋设油气管道失稳机理及控制</w:t>
      </w:r>
    </w:p>
    <w:p w14:paraId="7141EE80">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近海海域埋设油气管道承受温度、内压、地质等环境载荷联合作用诱发的海洋管道的失稳破坏风险，揭示不同管道特征因素下管道的失稳机理；明确管道失稳的环境条件与临界参数，研究管土耦合作用下管道失稳特性影响的分析模型和影响演变行为；提出抑制失稳的力学模型和实现路径，为海洋管道的经济、安全运行以及质量提升提供理论支持和技术保障。</w:t>
      </w:r>
    </w:p>
    <w:p w14:paraId="0771AF40">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L05近海重力式LNG终端混凝土结构动荷载-冻融-盐侵耦合作用机理与损伤演化研究</w:t>
      </w:r>
    </w:p>
    <w:p w14:paraId="290867BB">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近海重力式终端混凝土结构长期遭受风浪、低温、海水腐蚀以及罐内LNG低温等恶劣因素影响的难题，通过仿真分析与试验对比，揭示混凝土结构在风浪等动荷载、冻融循环、盐侵腐蚀耦合作用机理，研究复合因素影响下混凝土结构损伤演化规律，形成近海重力式LNG终端混凝土结构动荷载-冻融-盐侵耦合作用机理与损伤演化理论体系。</w:t>
      </w:r>
    </w:p>
    <w:p w14:paraId="10659B91">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L06海洋灾害区域油气管网动力灾变机理与智慧韧性设计</w:t>
      </w:r>
    </w:p>
    <w:p w14:paraId="7386779B">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我国环太平洋地震带和西太平洋台风、孤立波活动区域内海洋油气开发的迫切需要，建立海洋油气管网"复杂灾害场→结构损伤累积→网络功能退化"完整分析路径，揭示油气管网的灾变响应与功能演化机制，构建灾害全过程的海洋油气管网多维度韧性定量评估和提升方法，集成研发数据驱动的海洋管网韧性优化决策支持系统，为我国海洋能源生命线工程的灾变防控、设计对策与智慧运维提供支撑。</w:t>
      </w:r>
    </w:p>
    <w:p w14:paraId="6DC14640">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L07海洋平台空间相贯管节点全位置机器人焊接排道规则研究</w:t>
      </w:r>
    </w:p>
    <w:p w14:paraId="73570D8A">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海洋油气平台导管架TKY管节点马鞍形空间曲线变截面焊缝机器人焊接难题，研究空间位置焊接电弧-熔池的交互行为，揭示马鞍口侧壁约束焊道和分段焊接搭接区焊缝的熔池行为、缺陷与成形的规律，开发马鞍形焊缝全位置多层多道焊接参数与焊缝形态的算法，攻克导管架变截面坡口摆幅实时自适应调节技术，基于电弧传感获取相贯焊缝空间路径信息，自动适应相贯线坡口宽度变化和焊接过程热变形导致的路径误差，实时调整焊接工艺参数，实现海洋油气平台导管架TKY管节点的自适应排道策略和规则。</w:t>
      </w:r>
    </w:p>
    <w:p w14:paraId="0A5C303A">
      <w:pPr>
        <w:pStyle w:val="2"/>
        <w:keepNext w:val="0"/>
        <w:keepLines w:val="0"/>
        <w:pageBreakBefore w:val="0"/>
        <w:widowControl w:val="0"/>
        <w:kinsoku/>
        <w:wordWrap/>
        <w:overflowPunct/>
        <w:topLinePunct w:val="0"/>
        <w:autoSpaceDE/>
        <w:autoSpaceDN/>
        <w:bidi w:val="0"/>
        <w:adjustRightInd/>
        <w:snapToGrid/>
        <w:spacing w:after="0" w:line="560" w:lineRule="exact"/>
        <w:ind w:firstLine="643" w:firstLineChars="200"/>
        <w:textAlignment w:val="auto"/>
        <w:rPr>
          <w:rFonts w:hint="eastAsia" w:ascii="Nimbus Roman No9 L" w:hAnsi="Nimbus Roman No9 L" w:eastAsia="仿宋_GB2312" w:cs="仿宋_GB2312"/>
          <w:b/>
          <w:bCs/>
          <w:color w:val="auto"/>
          <w:sz w:val="32"/>
          <w:szCs w:val="32"/>
          <w:lang w:val="en-US" w:eastAsia="zh-CN"/>
        </w:rPr>
      </w:pPr>
      <w:r>
        <w:rPr>
          <w:rFonts w:hint="eastAsia" w:ascii="Nimbus Roman No9 L" w:hAnsi="Nimbus Roman No9 L" w:eastAsia="仿宋_GB2312" w:cs="仿宋_GB2312"/>
          <w:b/>
          <w:bCs/>
          <w:color w:val="auto"/>
          <w:sz w:val="32"/>
          <w:szCs w:val="32"/>
          <w:lang w:val="en-US" w:eastAsia="zh-CN"/>
        </w:rPr>
        <w:t>2.2面上项目</w:t>
      </w:r>
    </w:p>
    <w:p w14:paraId="530ACBAE">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A2301高温高压挠性管隆起屈曲机理与防控技术研究</w:t>
      </w:r>
    </w:p>
    <w:p w14:paraId="0EE6B9B4">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非粘接挠性管在高温高压环境下隆起屈曲机制复杂及难以精确预测的难题，开展挠性管非线性刚度特性、层间相互作用、热力学行为及管土相互作用机理研究，建立高温高压挠性管隆起屈曲理论计算模型与测试验证方法，形成基于临界载荷预测和后屈曲特性的挠性管截面优化设计技术，提出挠性管隆起屈曲防控方案与技术标准。</w:t>
      </w:r>
    </w:p>
    <w:p w14:paraId="567F8989">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A2302宽带多模态随机载荷下TLP浮式风机系泊筋键结构疲劳寿命评估方法研究</w:t>
      </w:r>
    </w:p>
    <w:p w14:paraId="631BDC12">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针对TLP浮式风机系泊筋键结构疲劳寿命难以精确评估的问题，揭示多环境载荷与浮体运动共同作用下TLP浮式风机筋键张力响应的产生机理，建立适用于宽带多模态随机载荷作用的系泊筋键疲劳寿命评估方法。</w:t>
      </w:r>
    </w:p>
    <w:p w14:paraId="0D5F9028">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A2303深海管道全生命周期管-土耦合作用机理与多过程模型研究</w:t>
      </w:r>
    </w:p>
    <w:p w14:paraId="731236D6">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深海管道管-土作用多过程演变机制不清的难题，研究土体扰动、触变恢复、再固结，以及孔压产生、累积、消散等对管-土耦合作用的影响机理；揭示“土性变化→管土耦合作用→管道位移→土性变化”的循环多过程响应规律；构建能够反映管周土体全生命周期时变特性的多过程管-土耦合作用模型。</w:t>
      </w:r>
    </w:p>
    <w:p w14:paraId="619565AA">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A2304海洋平台动设备模块管系振动及疲劳损伤机理研究</w:t>
      </w:r>
    </w:p>
    <w:p w14:paraId="68E89BCE">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海洋平台压缩机撬等动设备模块运行过程中压力脉动引起的管系振动及疲劳失效问题，研究往复式压缩机气体压力脉动与惯性激励产生的周期性动态载荷及其在设备-管系-平台结构中的传播规律，阐明气体脉动-管系声学振动-结构机械振动之间的多场耦合机制及振动放大机理，建立面向海洋平台动设备模块的振动与疲劳分析方法，为压缩机撬及相关动设备模块振动控制与结构设计提供理论依据。</w:t>
      </w:r>
    </w:p>
    <w:p w14:paraId="16B6AE23">
      <w:pPr>
        <w:pStyle w:val="2"/>
        <w:keepNext w:val="0"/>
        <w:keepLines w:val="0"/>
        <w:pageBreakBefore w:val="0"/>
        <w:widowControl w:val="0"/>
        <w:kinsoku/>
        <w:wordWrap/>
        <w:overflowPunct/>
        <w:topLinePunct w:val="0"/>
        <w:autoSpaceDE/>
        <w:autoSpaceDN/>
        <w:bidi w:val="0"/>
        <w:adjustRightInd/>
        <w:snapToGrid/>
        <w:spacing w:after="0" w:line="560" w:lineRule="exact"/>
        <w:ind w:firstLine="643" w:firstLineChars="200"/>
        <w:textAlignment w:val="auto"/>
        <w:rPr>
          <w:rFonts w:hint="eastAsia" w:ascii="Nimbus Roman No9 L" w:hAnsi="Nimbus Roman No9 L" w:eastAsia="仿宋_GB2312" w:cs="仿宋_GB2312"/>
          <w:b/>
          <w:bCs/>
          <w:color w:val="auto"/>
          <w:sz w:val="32"/>
          <w:szCs w:val="32"/>
          <w:lang w:val="en-US" w:eastAsia="zh-CN"/>
        </w:rPr>
      </w:pPr>
      <w:r>
        <w:rPr>
          <w:rFonts w:hint="eastAsia" w:ascii="Nimbus Roman No9 L" w:hAnsi="Nimbus Roman No9 L" w:eastAsia="仿宋_GB2312" w:cs="仿宋_GB2312"/>
          <w:b/>
          <w:bCs/>
          <w:color w:val="auto"/>
          <w:sz w:val="32"/>
          <w:szCs w:val="32"/>
          <w:lang w:val="en-US" w:eastAsia="zh-CN"/>
        </w:rPr>
        <w:t>2.3青年项目</w:t>
      </w:r>
    </w:p>
    <w:p w14:paraId="0502F287">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A2305面向海洋工程离散制造场景下的语言交互驱动工单协同智能作业研究  针对海洋工程复杂数字化工单体系中语义关联弱、知识组织分散与推荐精度受限等问题，研究语言交互驱动下工单知识的语义耦合机理与算法，构建工单知识图谱与生产业务语义空间的协同表达框架。揭示语言意图、业务场景要素与工单关联规律，建立可解释的语义推理与推荐方法体系，突破复杂制造场景中工单智能发现与精准推荐的关键科学问题。</w:t>
      </w:r>
    </w:p>
    <w:p w14:paraId="28E4604B">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A2306高强钢厚板焊接残余应力演化机制与低应力控制技术</w:t>
      </w:r>
    </w:p>
    <w:p w14:paraId="086073B1">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深水装备、海上风电等高强钢厚板焊接结构残余应力峰值高、易导致结构变形及开裂的问题，研究高强钢厚板多层多道焊过程中热-力-相变多场耦合作用下的应力演化规律，建立相变塑性与屈服行为的残余应力高效预测模型，开展基于低温相变材料的低应力控制方法研究，形成高强钢厚板焊接残余应力主动调控技术。</w:t>
      </w:r>
    </w:p>
    <w:p w14:paraId="6202BAB6">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A2307超临界CO₂环境下管道焊接接头服役性能退化机理与评价方法</w:t>
      </w:r>
      <w:r>
        <w:rPr>
          <w:rFonts w:hint="eastAsia" w:ascii="Nimbus Roman No9 L" w:hAnsi="Nimbus Roman No9 L" w:eastAsia="仿宋_GB2312" w:cs="仿宋_GB2312"/>
          <w:b w:val="0"/>
          <w:bCs w:val="0"/>
          <w:color w:val="auto"/>
          <w:sz w:val="32"/>
          <w:szCs w:val="32"/>
          <w:lang w:val="en-US" w:eastAsia="zh-CN"/>
        </w:rPr>
        <w:tab/>
      </w:r>
    </w:p>
    <w:p w14:paraId="4DEAF2DD">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碳捕集与封存（CCUS）输送管道焊接接头在超临界CO₂环境中腐蚀机制复杂、疲劳载荷耦合造成性能退化等问题，研究超临界CO₂介质焊缝及热影响区的电化学腐蚀与应力腐蚀交互作用机理，阐明腐蚀损伤与循环载荷耦合条件下焊接接头微观组织演变及力学性能退化规律，建立基于损伤演化的焊接接头服役寿命预测模型，形成超临界CO₂管道焊接结构安全性评估方法。</w:t>
      </w:r>
    </w:p>
    <w:p w14:paraId="05DEEAF1">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A2308漂浮式风电塔架结构-浮式基础全息感知及动态孪生体构建方法</w:t>
      </w:r>
      <w:r>
        <w:rPr>
          <w:rFonts w:hint="eastAsia" w:ascii="Nimbus Roman No9 L" w:hAnsi="Nimbus Roman No9 L" w:eastAsia="仿宋_GB2312" w:cs="仿宋_GB2312"/>
          <w:b w:val="0"/>
          <w:bCs w:val="0"/>
          <w:color w:val="auto"/>
          <w:sz w:val="32"/>
          <w:szCs w:val="32"/>
          <w:lang w:val="en-US" w:eastAsia="zh-CN"/>
        </w:rPr>
        <w:tab/>
      </w:r>
    </w:p>
    <w:p w14:paraId="04A0AD50">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漂浮式风电在复杂恶劣海洋环境下面临的动力特性演变及结构损伤失效等问题，研究结构损伤的快速识别方法与疲劳寿命预测机理，研发多模态监测数据时空融合技术，阐明浮式风电塔架结构-浮式基础在不同海洋环境和结构损伤工况联合作用下的动力特性。</w:t>
      </w:r>
    </w:p>
    <w:p w14:paraId="305A507B">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A2309油气终端CCUS全流程智能化与数字孪生技术</w:t>
      </w:r>
      <w:r>
        <w:rPr>
          <w:rFonts w:hint="eastAsia" w:ascii="Nimbus Roman No9 L" w:hAnsi="Nimbus Roman No9 L" w:eastAsia="仿宋_GB2312" w:cs="仿宋_GB2312"/>
          <w:b w:val="0"/>
          <w:bCs w:val="0"/>
          <w:color w:val="auto"/>
          <w:sz w:val="32"/>
          <w:szCs w:val="32"/>
          <w:lang w:val="en-US" w:eastAsia="zh-CN"/>
        </w:rPr>
        <w:tab/>
      </w:r>
    </w:p>
    <w:p w14:paraId="24F106B0">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油气终端CCUS多源数据异构性强、系统协同优化不足难题，构建涵盖地质封存体多场耦合演化、终端设备运行状态及环境监测数据的动态孪生模型，揭示数据-知识双驱动的CCUS系统跨尺度映射规律，研究深度强化学习与知识图谱的多目标协同优化机制，探明“地质-工程-环境”多源异构数据融合框架机理，形成数字孪生与物理系统的双向动态耦合理论体系。</w:t>
      </w:r>
    </w:p>
    <w:p w14:paraId="24D080C1">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A2310极端海况下FLNG结构损伤演化与失效机理研究</w:t>
      </w:r>
      <w:r>
        <w:rPr>
          <w:rFonts w:hint="eastAsia" w:ascii="Nimbus Roman No9 L" w:hAnsi="Nimbus Roman No9 L" w:eastAsia="仿宋_GB2312" w:cs="仿宋_GB2312"/>
          <w:b w:val="0"/>
          <w:bCs w:val="0"/>
          <w:color w:val="auto"/>
          <w:sz w:val="32"/>
          <w:szCs w:val="32"/>
          <w:lang w:val="en-US" w:eastAsia="zh-CN"/>
        </w:rPr>
        <w:tab/>
      </w:r>
    </w:p>
    <w:p w14:paraId="2B5E9BFC">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FLNG在复杂多物理场交变冲击中结构损伤累积与失效风险显著增加的问题，研究极端载荷下FLNG结构非线性损伤动态演化规律与失效阈值，建立风-浪-流-液舱多灾害耦合作用数值模型，揭示结构局部损伤萌生、跨尺度扩展与整体失稳的关联机制，提出基于应力三轴度与能量耗散的损伤演化准则，构建考虑材料非线性和环境随机性的动态失效判据，形成FLNG结构损伤与失效理论体系。</w:t>
      </w:r>
    </w:p>
    <w:p w14:paraId="545E9B7B">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A2311复杂地质条件下吸力桩基础平台力学响应机理</w:t>
      </w:r>
      <w:r>
        <w:rPr>
          <w:rFonts w:hint="eastAsia" w:ascii="Nimbus Roman No9 L" w:hAnsi="Nimbus Roman No9 L" w:eastAsia="仿宋_GB2312" w:cs="仿宋_GB2312"/>
          <w:b w:val="0"/>
          <w:bCs w:val="0"/>
          <w:color w:val="auto"/>
          <w:sz w:val="32"/>
          <w:szCs w:val="32"/>
          <w:lang w:val="en-US" w:eastAsia="zh-CN"/>
        </w:rPr>
        <w:tab/>
      </w:r>
    </w:p>
    <w:p w14:paraId="12D1F57B">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渤海边际油田开发中海底地质条件复杂引起的吸力桩基础平台设计难题，研究层状软黏土中吸力桩基础的受力特征，探究吸力桩基础单立柱/导管架平台的土-桩-结构复合力学系统承载机制，揭示系统多灾变耦合响应机理及其失效模式，建立吸力桩基础平台的系统性分析方法，形成通用的吸力桩基础平台设计准则。</w:t>
      </w:r>
    </w:p>
    <w:p w14:paraId="087337BC">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A2312深远海天然气开发水合物堵塞演化机理与高效防治方法</w:t>
      </w:r>
      <w:r>
        <w:rPr>
          <w:rFonts w:hint="eastAsia" w:ascii="Nimbus Roman No9 L" w:hAnsi="Nimbus Roman No9 L" w:eastAsia="仿宋_GB2312" w:cs="仿宋_GB2312"/>
          <w:b w:val="0"/>
          <w:bCs w:val="0"/>
          <w:color w:val="auto"/>
          <w:sz w:val="32"/>
          <w:szCs w:val="32"/>
          <w:lang w:val="en-US" w:eastAsia="zh-CN"/>
        </w:rPr>
        <w:tab/>
      </w:r>
    </w:p>
    <w:p w14:paraId="1ABFA499">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深远海气井开发全流程、全周期中水合物流动障碍防治难题，建立井筒-海底管道-立管温压场预测方法，揭示复杂流动空间水合物生成、沉积、脱落、重新沉积、堵塞全过程演化机理，建立多源数据融合的水合物堵塞预测、实时监测与风险评价方法。</w:t>
      </w:r>
    </w:p>
    <w:p w14:paraId="6F9F6317">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A2313基于视觉几何特征的焊接工艺参数智能关联建模与自适应推荐方法研</w:t>
      </w:r>
      <w:r>
        <w:rPr>
          <w:rFonts w:hint="eastAsia" w:ascii="Nimbus Roman No9 L" w:hAnsi="Nimbus Roman No9 L" w:eastAsia="仿宋_GB2312" w:cs="仿宋_GB2312"/>
          <w:b w:val="0"/>
          <w:bCs w:val="0"/>
          <w:color w:val="auto"/>
          <w:sz w:val="32"/>
          <w:szCs w:val="32"/>
          <w:lang w:val="en-US" w:eastAsia="zh-CN"/>
        </w:rPr>
        <w:tab/>
      </w:r>
    </w:p>
    <w:p w14:paraId="5FD050B4">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海洋工程钢结构智能焊接中几何形状非一致、间隙波动显著、热输入对焊缝成形敏感性高等问题，研究坡口关键视觉特征与焊接工艺参数之间的耦合规律，揭示视觉几何主导下的焊缝成形控制机理。建立基于多源过程数据的“参数—特征映射模型”与动态调控策略，形成工艺参数的智能推荐方法，实现焊接过程随坡口变化的实时自适应调节。</w:t>
      </w:r>
    </w:p>
    <w:p w14:paraId="15FFE029">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A2314海底管沟冲喷射流施工工艺模拟与智能调控方法研究</w:t>
      </w:r>
    </w:p>
    <w:p w14:paraId="44CFFFE0">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针对海底管沟冲喷射流施工中“水-土”多物理场耦合模拟不准的问题，开展射流压力、喷嘴角度、行进速度等参数智能优化研究，建立适应不同地质条件的施工参数设计准则，构建“施工参数-沟槽形态-地层响应”映射关系，实现海底管道挖沟施工过程的精准模拟与动态调控。</w:t>
      </w:r>
    </w:p>
    <w:p w14:paraId="1186F88E">
      <w:pPr>
        <w:pStyle w:val="9"/>
        <w:bidi w:val="0"/>
        <w:rPr>
          <w:rFonts w:hint="eastAsia" w:ascii="Nimbus Roman No9 L" w:hAnsi="Nimbus Roman No9 L"/>
          <w:lang w:eastAsia="zh-CN"/>
        </w:rPr>
      </w:pPr>
      <w:bookmarkStart w:id="5" w:name="_Toc1493991025"/>
    </w:p>
    <w:p w14:paraId="53C238D9">
      <w:pPr>
        <w:pStyle w:val="9"/>
        <w:bidi w:val="0"/>
        <w:rPr>
          <w:rFonts w:hint="eastAsia" w:ascii="Nimbus Roman No9 L" w:hAnsi="Nimbus Roman No9 L"/>
          <w:lang w:eastAsia="zh-CN"/>
        </w:rPr>
      </w:pPr>
    </w:p>
    <w:p w14:paraId="755DC909">
      <w:pPr>
        <w:pStyle w:val="9"/>
        <w:bidi w:val="0"/>
        <w:rPr>
          <w:rFonts w:hint="eastAsia" w:ascii="Nimbus Roman No9 L" w:hAnsi="Nimbus Roman No9 L"/>
          <w:lang w:eastAsia="zh-CN"/>
        </w:rPr>
      </w:pPr>
    </w:p>
    <w:p w14:paraId="15D72598">
      <w:pPr>
        <w:pStyle w:val="9"/>
        <w:bidi w:val="0"/>
        <w:rPr>
          <w:rFonts w:hint="eastAsia" w:ascii="Nimbus Roman No9 L" w:hAnsi="Nimbus Roman No9 L"/>
          <w:lang w:eastAsia="zh-CN"/>
        </w:rPr>
      </w:pPr>
    </w:p>
    <w:p w14:paraId="7A119F9C">
      <w:pPr>
        <w:pStyle w:val="9"/>
        <w:bidi w:val="0"/>
        <w:rPr>
          <w:rFonts w:hint="eastAsia" w:ascii="Nimbus Roman No9 L" w:hAnsi="Nimbus Roman No9 L"/>
          <w:lang w:eastAsia="zh-CN"/>
        </w:rPr>
      </w:pPr>
    </w:p>
    <w:p w14:paraId="10BD8883">
      <w:pPr>
        <w:pStyle w:val="9"/>
        <w:bidi w:val="0"/>
        <w:rPr>
          <w:rFonts w:hint="eastAsia" w:ascii="Nimbus Roman No9 L" w:hAnsi="Nimbus Roman No9 L"/>
          <w:lang w:eastAsia="zh-CN"/>
        </w:rPr>
      </w:pPr>
    </w:p>
    <w:p w14:paraId="548451A1">
      <w:pPr>
        <w:pStyle w:val="9"/>
        <w:bidi w:val="0"/>
        <w:rPr>
          <w:rFonts w:hint="eastAsia" w:ascii="Nimbus Roman No9 L" w:hAnsi="Nimbus Roman No9 L"/>
          <w:lang w:eastAsia="zh-CN"/>
        </w:rPr>
      </w:pPr>
    </w:p>
    <w:p w14:paraId="7F8EF398">
      <w:pPr>
        <w:pStyle w:val="9"/>
        <w:bidi w:val="0"/>
        <w:rPr>
          <w:rFonts w:hint="eastAsia" w:ascii="Nimbus Roman No9 L" w:hAnsi="Nimbus Roman No9 L"/>
          <w:lang w:eastAsia="zh-CN"/>
        </w:rPr>
      </w:pPr>
    </w:p>
    <w:p w14:paraId="02262897">
      <w:pPr>
        <w:pStyle w:val="9"/>
        <w:bidi w:val="0"/>
        <w:rPr>
          <w:rFonts w:hint="eastAsia" w:ascii="Nimbus Roman No9 L" w:hAnsi="Nimbus Roman No9 L"/>
          <w:lang w:eastAsia="zh-CN"/>
        </w:rPr>
      </w:pPr>
    </w:p>
    <w:p w14:paraId="3A53A43B">
      <w:pPr>
        <w:pStyle w:val="9"/>
        <w:bidi w:val="0"/>
        <w:rPr>
          <w:rFonts w:hint="eastAsia" w:ascii="Nimbus Roman No9 L" w:hAnsi="Nimbus Roman No9 L"/>
          <w:lang w:eastAsia="zh-CN"/>
        </w:rPr>
      </w:pPr>
    </w:p>
    <w:p w14:paraId="37C5C3CA">
      <w:pPr>
        <w:pStyle w:val="9"/>
        <w:bidi w:val="0"/>
        <w:rPr>
          <w:rFonts w:hint="eastAsia" w:ascii="Nimbus Roman No9 L" w:hAnsi="Nimbus Roman No9 L"/>
          <w:lang w:eastAsia="zh-CN"/>
        </w:rPr>
      </w:pPr>
    </w:p>
    <w:p w14:paraId="71680CDD">
      <w:pPr>
        <w:pStyle w:val="9"/>
        <w:bidi w:val="0"/>
        <w:rPr>
          <w:rFonts w:hint="eastAsia" w:ascii="Nimbus Roman No9 L" w:hAnsi="Nimbus Roman No9 L"/>
          <w:lang w:eastAsia="zh-CN"/>
        </w:rPr>
      </w:pPr>
    </w:p>
    <w:p w14:paraId="059693E5">
      <w:pPr>
        <w:pStyle w:val="9"/>
        <w:bidi w:val="0"/>
        <w:rPr>
          <w:rFonts w:hint="eastAsia" w:ascii="Nimbus Roman No9 L" w:hAnsi="Nimbus Roman No9 L"/>
          <w:lang w:eastAsia="zh-CN"/>
        </w:rPr>
      </w:pPr>
    </w:p>
    <w:p w14:paraId="0309623F">
      <w:pPr>
        <w:pStyle w:val="9"/>
        <w:bidi w:val="0"/>
        <w:rPr>
          <w:rFonts w:hint="eastAsia" w:ascii="Nimbus Roman No9 L" w:hAnsi="Nimbus Roman No9 L"/>
          <w:lang w:eastAsia="zh-CN"/>
        </w:rPr>
      </w:pPr>
    </w:p>
    <w:p w14:paraId="0D1EA2B0">
      <w:pPr>
        <w:pStyle w:val="9"/>
        <w:bidi w:val="0"/>
        <w:rPr>
          <w:rFonts w:hint="eastAsia" w:ascii="Nimbus Roman No9 L" w:hAnsi="Nimbus Roman No9 L"/>
          <w:lang w:eastAsia="zh-CN"/>
        </w:rPr>
      </w:pPr>
    </w:p>
    <w:p w14:paraId="622262B4">
      <w:pPr>
        <w:pStyle w:val="9"/>
        <w:bidi w:val="0"/>
        <w:rPr>
          <w:rFonts w:hint="eastAsia" w:ascii="Nimbus Roman No9 L" w:hAnsi="Nimbus Roman No9 L"/>
          <w:lang w:eastAsia="zh-CN"/>
        </w:rPr>
      </w:pPr>
    </w:p>
    <w:p w14:paraId="658A9882">
      <w:pPr>
        <w:pStyle w:val="9"/>
        <w:bidi w:val="0"/>
        <w:rPr>
          <w:rFonts w:hint="eastAsia" w:ascii="Nimbus Roman No9 L" w:hAnsi="Nimbus Roman No9 L"/>
          <w:lang w:eastAsia="zh-CN"/>
        </w:rPr>
      </w:pPr>
    </w:p>
    <w:p w14:paraId="6BA44222">
      <w:pPr>
        <w:pStyle w:val="9"/>
        <w:bidi w:val="0"/>
        <w:rPr>
          <w:rFonts w:hint="eastAsia" w:ascii="Nimbus Roman No9 L" w:hAnsi="Nimbus Roman No9 L"/>
          <w:lang w:eastAsia="zh-CN"/>
        </w:rPr>
      </w:pPr>
    </w:p>
    <w:p w14:paraId="44079971">
      <w:pPr>
        <w:pStyle w:val="9"/>
        <w:bidi w:val="0"/>
        <w:rPr>
          <w:rFonts w:hint="eastAsia" w:ascii="Nimbus Roman No9 L" w:hAnsi="Nimbus Roman No9 L"/>
          <w:lang w:eastAsia="zh-CN"/>
        </w:rPr>
      </w:pPr>
    </w:p>
    <w:p w14:paraId="062D7FD1">
      <w:pPr>
        <w:pStyle w:val="9"/>
        <w:bidi w:val="0"/>
        <w:rPr>
          <w:rFonts w:hint="eastAsia" w:ascii="Nimbus Roman No9 L" w:hAnsi="Nimbus Roman No9 L"/>
          <w:lang w:eastAsia="zh-CN"/>
        </w:rPr>
      </w:pPr>
    </w:p>
    <w:p w14:paraId="354BAC57">
      <w:pPr>
        <w:pStyle w:val="9"/>
        <w:bidi w:val="0"/>
        <w:rPr>
          <w:rFonts w:hint="eastAsia" w:ascii="Nimbus Roman No9 L" w:hAnsi="Nimbus Roman No9 L"/>
          <w:lang w:eastAsia="zh-CN"/>
        </w:rPr>
      </w:pPr>
      <w:r>
        <w:rPr>
          <w:rFonts w:hint="eastAsia" w:ascii="Nimbus Roman No9 L" w:hAnsi="Nimbus Roman No9 L"/>
          <w:lang w:eastAsia="zh-CN"/>
        </w:rPr>
        <w:t>六、天津市自然科学基金联合基金-体外诊断安全及检验医学项目</w:t>
      </w:r>
      <w:bookmarkEnd w:id="5"/>
    </w:p>
    <w:p w14:paraId="2923C2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楷体_GB2312" w:cs="楷体_GB2312"/>
          <w:b w:val="0"/>
          <w:bCs w:val="0"/>
          <w:color w:val="auto"/>
          <w:sz w:val="32"/>
          <w:szCs w:val="32"/>
          <w:lang w:val="en-US" w:eastAsia="zh-CN"/>
        </w:rPr>
      </w:pPr>
      <w:r>
        <w:rPr>
          <w:rFonts w:hint="eastAsia" w:ascii="Nimbus Roman No9 L" w:hAnsi="Nimbus Roman No9 L" w:eastAsia="楷体_GB2312" w:cs="楷体_GB2312"/>
          <w:b w:val="0"/>
          <w:bCs w:val="0"/>
          <w:color w:val="auto"/>
          <w:sz w:val="32"/>
          <w:szCs w:val="32"/>
          <w:lang w:val="en-US" w:eastAsia="zh-CN"/>
        </w:rPr>
        <w:t>1.研究目标</w:t>
      </w:r>
    </w:p>
    <w:p w14:paraId="54BD4DAB">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聚焦复杂疾病精准诊疗与机制解析的关键科学问题，以促进重大疾病早期预警、精准诊断、个体化治疗及临床转化为主线，围绕肝脏疾病全周期管理、肿瘤精准靶向治疗、感染性疾病免疫调控、心脑血管危急重症快速识别、代谢性慢病诊疗新策略、检验医学智能化升级及中医药现代化等核心方向，项目拟通过多元化研究布局与跨学科协同，推动基础研究成果向临床实践的加速转化，为构建精准医学体系提供理论依据与实践路径。</w:t>
      </w:r>
    </w:p>
    <w:p w14:paraId="2497F8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拟支持重点项目6项；面上项目12项。本专项成果知识产权由出资方与项目承担单位共享，共为权利人。</w:t>
      </w:r>
    </w:p>
    <w:p w14:paraId="0EA8626E">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Nimbus Roman No9 L" w:hAnsi="Nimbus Roman No9 L" w:eastAsia="楷体_GB2312" w:cs="楷体_GB2312"/>
          <w:b w:val="0"/>
          <w:bCs w:val="0"/>
          <w:color w:val="auto"/>
          <w:sz w:val="32"/>
          <w:szCs w:val="32"/>
          <w:lang w:val="en-US" w:eastAsia="zh-CN"/>
        </w:rPr>
      </w:pPr>
      <w:r>
        <w:rPr>
          <w:rFonts w:hint="eastAsia" w:ascii="Nimbus Roman No9 L" w:hAnsi="Nimbus Roman No9 L" w:eastAsia="楷体_GB2312" w:cs="楷体_GB2312"/>
          <w:b w:val="0"/>
          <w:bCs w:val="0"/>
          <w:color w:val="auto"/>
          <w:sz w:val="32"/>
          <w:szCs w:val="32"/>
          <w:lang w:val="en-US" w:eastAsia="zh-CN"/>
        </w:rPr>
        <w:t>2.重点资助内容</w:t>
      </w:r>
    </w:p>
    <w:p w14:paraId="447EE7E3">
      <w:pPr>
        <w:pStyle w:val="2"/>
        <w:keepNext w:val="0"/>
        <w:keepLines w:val="0"/>
        <w:pageBreakBefore w:val="0"/>
        <w:widowControl w:val="0"/>
        <w:kinsoku/>
        <w:wordWrap/>
        <w:overflowPunct/>
        <w:topLinePunct w:val="0"/>
        <w:autoSpaceDE/>
        <w:autoSpaceDN/>
        <w:bidi w:val="0"/>
        <w:adjustRightInd/>
        <w:snapToGrid/>
        <w:spacing w:after="0" w:line="560" w:lineRule="exact"/>
        <w:ind w:firstLine="643" w:firstLineChars="200"/>
        <w:textAlignment w:val="auto"/>
        <w:rPr>
          <w:rFonts w:hint="eastAsia" w:ascii="Nimbus Roman No9 L" w:hAnsi="Nimbus Roman No9 L" w:eastAsia="仿宋_GB2312" w:cs="仿宋_GB2312"/>
          <w:b/>
          <w:bCs/>
          <w:color w:val="auto"/>
          <w:sz w:val="32"/>
          <w:szCs w:val="32"/>
          <w:lang w:val="en-US" w:eastAsia="zh-CN"/>
        </w:rPr>
      </w:pPr>
      <w:r>
        <w:rPr>
          <w:rFonts w:hint="eastAsia" w:ascii="Nimbus Roman No9 L" w:hAnsi="Nimbus Roman No9 L" w:eastAsia="仿宋_GB2312" w:cs="仿宋_GB2312"/>
          <w:b/>
          <w:bCs/>
          <w:color w:val="auto"/>
          <w:sz w:val="32"/>
          <w:szCs w:val="32"/>
          <w:lang w:val="en-US" w:eastAsia="zh-CN"/>
        </w:rPr>
        <w:t>2.1重点项目</w:t>
      </w:r>
    </w:p>
    <w:p w14:paraId="2F853B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M01基于纳米材料俘获技术对慢加急性肝衰竭中外泌体LncRNA AFAP1-AS1的早期诊断价值及作用机制研究。针对慢加急性肝衰竭早期预警难题，结合临床样本库，利用功能化材料建立外泌体靶向富集与液体活检新技术；依托慢性肝病急性加重、急性失代偿和慢加急性肝衰竭临床队列，筛选血清外泌体AFAP1-AS1等关键分子表达特征，构建早筛预警模型并评估预后效能；利用联合组学技术，阐明关键外泌体分子调控炎症反应、免疫应答失衡、肝细胞损伤和肝再生障碍等核心机制，初步构建临床风险预警模型。</w:t>
      </w:r>
    </w:p>
    <w:p w14:paraId="076C8D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M02基于白蛋白纳米颗粒-CRISPR-Cas13a血清HBV RNA快速检测及临床分期模型研究。针对慢性乙型肝炎患者血清HBV RNA丰度低、易降解、临床分期应用价值尚不明确的问题，依托临床慢性乙型肝炎患者血液样本库，探索经SELEX筛选的核酸适配体功能化白蛋白纳米颗粒对血清HBV RNA的选择性富集、核酸保护和CRISPR-Cas13a旁切信号放大机制，设计白蛋白纳米颗粒增强的CRISPR-Cas13a血清HBV RNA快速检测体系，构建慢性乙型肝炎临床分期辅助评价模型，开展临床验证。</w:t>
      </w:r>
    </w:p>
    <w:p w14:paraId="1911FA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M03受损肝细胞源性CCL15经CCR1/MYH9轴驱动肝纤维化的机制及精准干预研究。针对肝纤维化精准干预靶点匮乏的临床瓶颈，系统解析受损肝细胞源性CCL15促进肝星状细胞活化及肝纤维化进展的分子机制，阐明CCL15通过CCR1/MYH9介导GSK3β泛素化降解、异常激活Wnt/β-catenin通路的作用机制，设计靶向CCL15-CCR1-MYH9轴的抗肝纤维化干预策略，构建肝纤维化分子调控模型并开展临床样本验证。</w:t>
      </w:r>
    </w:p>
    <w:p w14:paraId="6B0BAD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M04基于临床样本的适配体联检血小板衰老促凝与血管事件风险研究。面向心脑血管高风险人群，依托多中心医疗机构建立临床队列，连续采集血液样本及随访数据。基于核酸适配体技术建立血小板衰老相关因子多因子联检方法，整合流式细胞术、凝血功能、血栓弹力图及代谢组学，探索血小板炎性环境下的分子通路调控机制，解析血小板衰老样促凝表型与疾病进展、血管事件的关联机制，筛选风险分层标志物，为临床精准防控提供理论依据。</w:t>
      </w:r>
    </w:p>
    <w:p w14:paraId="79BC11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M05靶向ATR协同erastin诱导铁死亡治疗ALT阳性骨肉瘤的机制及精准治疗策略研究。针对ALT阳性骨肉瘤亚群治疗效果不佳的临床难题，实验研究敲低ATR协同erastin诱导铁死亡的分子机制，探索端粒损伤、抑制线粒体自噬导致ROS积累的协同效应，揭示端粒损伤增强铁死亡的调控原理，构建靶向ATR联合erastin的分子机制模型，验证肿瘤细胞杀伤效应，为ALT阳性骨肉瘤提供靶向铁死亡精准治疗的理论基础。</w:t>
      </w:r>
    </w:p>
    <w:p w14:paraId="7888D20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Nimbus Roman No9 L" w:hAnsi="Nimbus Roman No9 L" w:eastAsia="仿宋_GB2312" w:cs="仿宋_GB2312"/>
          <w:b/>
          <w:bCs/>
          <w:color w:val="auto"/>
          <w:sz w:val="32"/>
          <w:szCs w:val="32"/>
          <w:lang w:val="en-US" w:eastAsia="zh-CN"/>
        </w:rPr>
      </w:pPr>
      <w:r>
        <w:rPr>
          <w:rFonts w:hint="eastAsia" w:ascii="Nimbus Roman No9 L" w:hAnsi="Nimbus Roman No9 L" w:eastAsia="仿宋_GB2312" w:cs="仿宋_GB2312"/>
          <w:b/>
          <w:bCs/>
          <w:color w:val="auto"/>
          <w:sz w:val="32"/>
          <w:szCs w:val="32"/>
          <w:lang w:val="en-US" w:eastAsia="zh-CN"/>
        </w:rPr>
        <w:t>2.2面上项目</w:t>
      </w:r>
    </w:p>
    <w:p w14:paraId="5AD530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2401靶向CES2调控Akt-mTOR-自噬轴增强巨噬细胞抗结核免疫的机制及模型构建研究。针对活动性肺结核早期识别灵敏度不足、常规治疗耐药问题突出、疗程长的临床瓶颈，以CES2为关键靶点，整合大量临床样本并构建分枝杆菌感染模型，系统探讨CES2的动态表达特征及功能作用，阐明CES2-Akt-mTOR-自噬轴对巨噬细胞抗结核免疫应答及胞内菌负荷的调控机制，为活动性肺结核早期诊断及精准干预提供新策略。</w:t>
      </w:r>
    </w:p>
    <w:p w14:paraId="1136A6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2402基于智能识别的检验科试剂智能仓储与包装预处理研究。针对医院检验科试剂种类多、批次多、效期要求高，人工登记、盘点和使用前准备工作量大的问题，基于深度学习的智能识别算法、信息核验方法和仓储管理模型，遴选关键管理变量构建多重神经网络模型，研究试剂自动识别、储位匹配、库存更新、效期预警和缺剂提醒技术，研制包装预处理技术，解决外包装快速开启、封签拆解和试剂整理、人工管理易错漏等问题。</w:t>
      </w:r>
    </w:p>
    <w:p w14:paraId="47A921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A2403 CD24调控巨噬细胞代谢重编程介导肝内免疫微环境重塑及肝硬化进展的机制研究。针对肝硬化进展中免疫代谢紊乱机制不清的关键问题，研究 CD24 分子调控肝内巨噬细胞代谢重编程的作用机制，阐明 CD24 对巨噬细胞表型、炎症-纤维化环路及细胞交互作用的影响；构建动物模型与临床样本验证体系，明确 CD24 介导免疫微环境调控肝硬化进展的核心机制，为肝硬化早期干预与靶向治疗提供实验依据与新靶点。</w:t>
      </w:r>
    </w:p>
    <w:p w14:paraId="315DC5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2404面向脑卒中急救的等离子体增强电化学POCT快速检测系统构建与临床验证。面向急性缺血性脑卒中早期诊断与急救需求，开发基于等离子体耦合电化学增强机制的床旁快速检测芯片（POCT）。聚焦GFAP、UCHL1及S100β三个核心标志物，通过纳米界面信号调控与降噪策略，整合大量临床样本，攻克血清基质复杂干扰难题，结合急诊样本快速预处理，实现高选择性、高灵敏的即时检测。提升卒中急救环节的时效性评价能力，支撑脑卒中治疗中心的精准决策。</w:t>
      </w:r>
    </w:p>
    <w:p w14:paraId="3AFB87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A2405“湿热瘀毒”证候结直肠腺瘤患者外泌体small RNA与肠道菌群特征及恶变风险预警研究。针对结直肠癌癌前病变早期筛查与高风险人群精准预警的临床需求，聚焦"湿热瘀毒"高风险证候人群，开展结直肠腺瘤外泌体small RNA与肠道菌群联合分析，探索菌群失衡、炎症反应及外泌体small RNA异常表达在腺瘤发生发展中的协同作用机制，筛选与高级别上皮内瘤变及恶变进展相关的关键分子标志物，构建多维度风险预警模型，并开展临床样本验证。</w:t>
      </w:r>
    </w:p>
    <w:p w14:paraId="60ED80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2406肝脏疾病全周期生物样本资源库标准化构建与多维质量评价及精准诊疗应用。针对肝脏疾病领域中全病程纵向队列样本匮乏及质量评价体系单一的临床研究问题，集成肝脏疾病样本资源库平台优势，基于人工智能形成肝脏疾病全周期生物样本及临床数据集成化管理模式，建立贯穿疾病自然史与诊疗全过程的标准化肝脏疾病生物样本资源库与多维质量动态评价体系，为肝脏疾病分层、分期、分型精准诊疗提供全周期数据支撑。</w:t>
      </w:r>
    </w:p>
    <w:p w14:paraId="344E07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2407肺炎克雷伯菌替加环素耐药基因与毒力质粒协同传播的分子机制及院感防控研究。针对替加环素耐药相关基因与毒力质粒传播导致肺炎克雷伯菌替加环素耐药及感染难治的临床瓶颈，通过质粒接合转移、全基因组、转录组测序及CRISPR基因编辑，系统阐明耐药基因及质粒介导的tmexCD-toprJ外排泵及tet（X）变异体的替加环素耐药机制，以及毒力质粒（携带rmpA2、iuc等基因）的调控网络，为院感防控提供理论依据。</w:t>
      </w:r>
    </w:p>
    <w:p w14:paraId="2202EA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2408左心衰疾病"交感-线粒体-炎症"轴分子标志物筛选及PADN精准干预肺动脉高压策略研究。针对左心射血分数保留型心衰诱导肺动脉高压缺乏有效靶向治疗的临床难题，围绕继发性肺血管主动重构、右心功能损害和疾病进展风险分层等关键问题，聚焦交感-内皮损伤导致mtDNA/cGAS-STING信号通路激活，阐明其调控血管壁细胞互作及肺血管重构的机制，筛选分子标志物与干预靶点，探索PADN等神经调控策略，开展临床验证，为早期诊断和精准干预提供依据。</w:t>
      </w:r>
    </w:p>
    <w:p w14:paraId="3B3556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A2409 EHMT2调控NK细胞抗前列腺癌早期转移免疫监视的表观遗传机制及靶向策略研究。针对前列腺癌早期转移NK细胞免疫监视失效及其表观遗传调控机制不清的关键问题，研究EHMT2-H3K9me2轴调控NK细胞成熟、细胞毒性效应及早期转移免疫微环境重塑的作用机制，构建NK细胞特异性EHMT2敲除小鼠和肺转移模型验证体系，明确EHMT2介导表观遗传屏障限制NK细胞抗转移免疫监视的机制，为前列腺癌转移风险评估、早期干预和NK细胞治疗优化提供理论依据和实验基础。</w:t>
      </w:r>
    </w:p>
    <w:p w14:paraId="3118B5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2410基于新型血栓标志物的复杂出凝血疾病分子机制探索及精准化病情监测体系的构建研究。针对复杂出凝血疾病，通过新型血栓标志物、表观遗传学指标、功能试验和体外血浆模型探索凝血调控失衡的分子机制，阐明凝血因子异常激活、纤溶通路功能障碍及血管内皮损伤对血小板活化的影响，采用临床研究进行验证，构建基于新型血栓标志物的病情综合评价工具和止血重建算法，优化血栓与出血事件的早期预警、危险度分层及药物干预策略，为临床平衡止血与血栓提供数据支撑。</w:t>
      </w:r>
    </w:p>
    <w:p w14:paraId="08C96A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2411低氧感应蛋白HIF3α在代谢功能障碍相关脂肪性肝病中的作用机制及临床应用研究。针对代谢功能障碍相关脂肪性肝病（MASLD）发病率高、分子机制复杂以及缺乏有效的诊断标志物和治疗手段等问题，以低氧感应蛋白HIF3α为研究目标，利用MASLD患者及健康对照者的肝脏活检组织和血清样本、全身或肝脏特异敲除或过表达HIF3α小鼠模型以及调节HIF3α活性的特异小分子化合物，系统阐明HIF3α在MASLD中的作用及分子机制，为MASLD的临床诊断和治疗提供新型标志物和分子靶点。</w:t>
      </w:r>
    </w:p>
    <w:p w14:paraId="20B522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r>
        <w:rPr>
          <w:rFonts w:hint="eastAsia" w:ascii="Nimbus Roman No9 L" w:hAnsi="Nimbus Roman No9 L" w:eastAsia="仿宋_GB2312" w:cs="仿宋_GB2312"/>
          <w:b w:val="0"/>
          <w:bCs w:val="0"/>
          <w:color w:val="auto"/>
          <w:sz w:val="32"/>
          <w:szCs w:val="32"/>
          <w:lang w:val="en-US" w:eastAsia="zh-CN"/>
        </w:rPr>
        <w:t>A2412 HPV E7通过ZER1介导的蛋白降解通路促进头颈部鳞状细胞癌的机制研究。针对HPV阳性头颈部鳞状细胞癌发病率持续上升、复发后死亡率高的临床现状，阐明HPV致癌蛋白E7通过ZER1介导的蛋白酶体通路异常降解关键抑癌底物的分子机制，明确E7-ZER1相互作用的关键结构域及作用界面，筛选靶向先导化合物并完成验证，为HPV阳性头颈部鳞状细胞癌的分子分型、预后评估及靶向治疗提供新靶点。</w:t>
      </w:r>
    </w:p>
    <w:p w14:paraId="176DEA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仿宋_GB2312"/>
          <w:b w:val="0"/>
          <w:bCs w:val="0"/>
          <w:color w:val="auto"/>
          <w:sz w:val="32"/>
          <w:szCs w:val="32"/>
          <w:lang w:val="en-US" w:eastAsia="zh-CN"/>
        </w:rPr>
      </w:pPr>
    </w:p>
    <w:sectPr>
      <w:footerReference r:id="rId3" w:type="default"/>
      <w:pgSz w:w="11906" w:h="16838"/>
      <w:pgMar w:top="2098" w:right="1474" w:bottom="1984" w:left="1587" w:header="851" w:footer="992" w:gutter="0"/>
      <w:paperSrc/>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5E88EA5-A4A5-400E-B846-C2FE9D5D4E7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0600BF8-0484-4DCE-B554-DD37FAD1208A}"/>
  </w:font>
  <w:font w:name="楷体_GB2312">
    <w:panose1 w:val="02010609030101010101"/>
    <w:charset w:val="86"/>
    <w:family w:val="auto"/>
    <w:pitch w:val="default"/>
    <w:sig w:usb0="00000001" w:usb1="080E0000" w:usb2="00000000" w:usb3="00000000" w:csb0="00040000" w:csb1="00000000"/>
    <w:embedRegular r:id="rId3" w:fontKey="{6BB8FAA3-157E-4459-9554-016B8E9DEA17}"/>
  </w:font>
  <w:font w:name="Nimbus Roman No9 L">
    <w:altName w:val="Noto Serif SC"/>
    <w:panose1 w:val="00000000000000000000"/>
    <w:charset w:val="00"/>
    <w:family w:val="auto"/>
    <w:pitch w:val="default"/>
    <w:sig w:usb0="00000000" w:usb1="00000000" w:usb2="00000000" w:usb3="00000000" w:csb0="00040001" w:csb1="00000000"/>
    <w:embedRegular r:id="rId4" w:fontKey="{61564B7A-FE0A-4A9C-AE26-E4C469E49C44}"/>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5" w:fontKey="{10762FD2-9DF1-4607-995A-042BEE085EFD}"/>
  </w:font>
  <w:font w:name="Noto Serif SC">
    <w:panose1 w:val="020202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34EEE">
    <w:pPr>
      <w:pStyle w:val="3"/>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A794CDC">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5FC149C"/>
    <w:rsid w:val="2FD7DEBD"/>
    <w:rsid w:val="30AD6A9A"/>
    <w:rsid w:val="37F9DB40"/>
    <w:rsid w:val="3EAB0813"/>
    <w:rsid w:val="3EF2E41E"/>
    <w:rsid w:val="59EEF3D4"/>
    <w:rsid w:val="62EB2BD7"/>
    <w:rsid w:val="6DF4B01D"/>
    <w:rsid w:val="6F7F30E0"/>
    <w:rsid w:val="77BC0954"/>
    <w:rsid w:val="7BE7B9ED"/>
    <w:rsid w:val="7E7EB70D"/>
    <w:rsid w:val="7F753271"/>
    <w:rsid w:val="7F79C655"/>
    <w:rsid w:val="9DFBE0C3"/>
    <w:rsid w:val="C7FE169A"/>
    <w:rsid w:val="DE6B5E28"/>
    <w:rsid w:val="DEDE948B"/>
    <w:rsid w:val="EDFE7833"/>
    <w:rsid w:val="F4596D95"/>
    <w:rsid w:val="F7797761"/>
    <w:rsid w:val="FDDF68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uiPriority w:val="0"/>
  </w:style>
  <w:style w:type="paragraph" w:customStyle="1" w:styleId="8">
    <w:name w:val="样式1"/>
    <w:basedOn w:val="1"/>
    <w:uiPriority w:val="0"/>
    <w:rPr>
      <w:rFonts w:eastAsia="黑体"/>
      <w:sz w:val="32"/>
    </w:rPr>
  </w:style>
  <w:style w:type="paragraph" w:customStyle="1" w:styleId="9">
    <w:name w:val="样式2"/>
    <w:basedOn w:val="1"/>
    <w:uiPriority w:val="0"/>
    <w:pPr>
      <w:spacing w:line="560" w:lineRule="exact"/>
      <w:ind w:firstLine="640" w:firstLineChars="200"/>
    </w:pPr>
    <w:rPr>
      <w:rFonts w:eastAsia="黑体"/>
      <w:sz w:val="32"/>
    </w:rPr>
  </w:style>
  <w:style w:type="paragraph" w:customStyle="1" w:styleId="10">
    <w:name w:val="样式3"/>
    <w:basedOn w:val="9"/>
    <w:uiPriority w:val="0"/>
    <w:rPr>
      <w:rFonts w:eastAsia="楷体_GB231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10751</Words>
  <Characters>11112</Characters>
  <Lines>0</Lines>
  <Paragraphs>0</Paragraphs>
  <TotalTime>32.3333333333333</TotalTime>
  <ScaleCrop>false</ScaleCrop>
  <LinksUpToDate>false</LinksUpToDate>
  <CharactersWithSpaces>11134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2014-11-03T04:08:00Z</dcterms:created>
  <dc:creator>Administrator</dc:creator>
  <cp:lastModifiedBy>对方正在输入...</cp:lastModifiedBy>
  <cp:lastPrinted>2026-08-27T09:24:08Z</cp:lastPrinted>
  <dcterms:modified xsi:type="dcterms:W3CDTF">2026-08-31T07:57:52Z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eyJoZGlkIjoiMTVmNGI0NzJhZTFjYzE2ZmJkNzNjZTE2ODdmMzA1ODMiLCJ1c2VySWQiOiIyNDk5MTI1ODAifQ==</vt:lpwstr>
  </property>
  <property fmtid="{D5CDD505-2E9C-101B-9397-08002B2CF9AE}" pid="4" name="ICV">
    <vt:lpwstr>401A1EAC012A48DF88CB3B287049ECF9_13</vt:lpwstr>
  </property>
</Properties>
</file>