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41EE3A5">
      <w:pPr>
        <w:spacing w:line="360" w:lineRule="auto"/>
      </w:pPr>
    </w:p>
    <w:p w14:paraId="7B1D2747">
      <w:pPr>
        <w:spacing w:line="360" w:lineRule="auto"/>
      </w:pPr>
    </w:p>
    <w:p w14:paraId="1E616692">
      <w:pPr>
        <w:spacing w:line="360" w:lineRule="auto"/>
      </w:pPr>
    </w:p>
    <w:p w14:paraId="4285FA40">
      <w:pPr>
        <w:spacing w:line="360" w:lineRule="auto"/>
        <w:jc w:val="center"/>
        <w:rPr>
          <w:rFonts w:ascii="仿宋_GB2312"/>
        </w:rPr>
      </w:pPr>
    </w:p>
    <w:p w14:paraId="3675D54A">
      <w:pPr>
        <w:spacing w:line="400" w:lineRule="exact"/>
        <w:jc w:val="center"/>
        <w:rPr>
          <w:rFonts w:ascii="Times New Roman" w:hAnsi="Times New Roman" w:cs="Times New Roman"/>
          <w:szCs w:val="32"/>
        </w:rPr>
      </w:pPr>
      <w:r>
        <w:rPr>
          <w:rFonts w:ascii="Times New Roman" w:hAnsi="Times New Roman" w:cs="Times New Roman"/>
          <w:szCs w:val="32"/>
        </w:rPr>
        <w:t>津保审</w:t>
      </w:r>
      <w:r>
        <w:rPr>
          <w:rFonts w:hint="eastAsia" w:ascii="Times New Roman" w:hAnsi="Times New Roman" w:cs="Times New Roman"/>
          <w:szCs w:val="32"/>
        </w:rPr>
        <w:t>环准</w:t>
      </w:r>
      <w:r>
        <w:rPr>
          <w:rFonts w:ascii="Times New Roman" w:hAnsi="Times New Roman" w:cs="Times New Roman"/>
          <w:szCs w:val="32"/>
        </w:rPr>
        <w:t>〔202</w:t>
      </w:r>
      <w:r>
        <w:rPr>
          <w:rFonts w:hint="eastAsia" w:ascii="Times New Roman" w:hAnsi="Times New Roman" w:cs="Times New Roman"/>
          <w:szCs w:val="32"/>
          <w:lang w:val="en-US" w:eastAsia="zh-CN"/>
        </w:rPr>
        <w:t>6</w:t>
      </w:r>
      <w:r>
        <w:rPr>
          <w:rFonts w:ascii="Times New Roman" w:hAnsi="Times New Roman" w:cs="Times New Roman"/>
          <w:szCs w:val="32"/>
        </w:rPr>
        <w:t>〕</w:t>
      </w:r>
      <w:r>
        <w:rPr>
          <w:rFonts w:hint="eastAsia" w:ascii="Times New Roman" w:hAnsi="Times New Roman" w:cs="Times New Roman"/>
          <w:szCs w:val="32"/>
          <w:lang w:val="en-US" w:eastAsia="zh-CN"/>
        </w:rPr>
        <w:t>5</w:t>
      </w:r>
      <w:r>
        <w:rPr>
          <w:rFonts w:ascii="Times New Roman" w:hAnsi="Times New Roman" w:cs="Times New Roman"/>
          <w:szCs w:val="32"/>
        </w:rPr>
        <w:t>号</w:t>
      </w:r>
    </w:p>
    <w:p w14:paraId="3F1BCA8C">
      <w:pPr>
        <w:spacing w:line="400" w:lineRule="exact"/>
        <w:jc w:val="center"/>
        <w:rPr>
          <w:rFonts w:ascii="Times New Roman" w:hAnsi="Times New Roman" w:eastAsia="华文中宋" w:cs="Times New Roman"/>
          <w:b/>
          <w:sz w:val="44"/>
          <w:szCs w:val="44"/>
        </w:rPr>
      </w:pPr>
    </w:p>
    <w:p w14:paraId="75199DA9">
      <w:pPr>
        <w:spacing w:line="6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关于</w:t>
      </w:r>
      <w:r>
        <w:rPr>
          <w:rFonts w:hint="eastAsia" w:ascii="Times New Roman" w:hAnsi="Times New Roman" w:eastAsia="方正小标宋简体" w:cs="Times New Roman"/>
          <w:bCs/>
          <w:sz w:val="44"/>
          <w:szCs w:val="44"/>
        </w:rPr>
        <w:t>天津港高沙岭港区支航道一期工程</w:t>
      </w:r>
      <w:r>
        <w:rPr>
          <w:rFonts w:ascii="Times New Roman" w:hAnsi="Times New Roman" w:eastAsia="方正小标宋简体" w:cs="Times New Roman"/>
          <w:sz w:val="44"/>
          <w:szCs w:val="28"/>
        </w:rPr>
        <w:t>环境影响报告</w:t>
      </w:r>
      <w:r>
        <w:rPr>
          <w:rFonts w:hint="eastAsia" w:ascii="Times New Roman" w:hAnsi="Times New Roman" w:eastAsia="方正小标宋简体" w:cs="Times New Roman"/>
          <w:bCs/>
          <w:sz w:val="44"/>
          <w:szCs w:val="44"/>
          <w:lang w:val="en-US" w:eastAsia="zh-CN"/>
        </w:rPr>
        <w:t>书</w:t>
      </w:r>
      <w:r>
        <w:rPr>
          <w:rFonts w:ascii="Times New Roman" w:hAnsi="Times New Roman" w:eastAsia="方正小标宋简体" w:cs="Times New Roman"/>
          <w:bCs/>
          <w:sz w:val="44"/>
          <w:szCs w:val="44"/>
        </w:rPr>
        <w:t>的批复</w:t>
      </w:r>
    </w:p>
    <w:p w14:paraId="337BC975">
      <w:pPr>
        <w:spacing w:line="360" w:lineRule="auto"/>
        <w:jc w:val="center"/>
        <w:rPr>
          <w:color w:val="000000"/>
          <w:sz w:val="44"/>
        </w:rPr>
      </w:pPr>
    </w:p>
    <w:p w14:paraId="4126CD3A">
      <w:pPr>
        <w:pStyle w:val="13"/>
        <w:spacing w:line="360" w:lineRule="auto"/>
        <w:rPr>
          <w:sz w:val="32"/>
          <w:szCs w:val="32"/>
        </w:rPr>
      </w:pPr>
      <w:r>
        <w:rPr>
          <w:rFonts w:hint="eastAsia"/>
          <w:bCs/>
          <w:sz w:val="32"/>
          <w:szCs w:val="32"/>
        </w:rPr>
        <w:t>天津临港产业投资控股有限公司</w:t>
      </w:r>
      <w:r>
        <w:rPr>
          <w:sz w:val="32"/>
          <w:szCs w:val="32"/>
        </w:rPr>
        <w:t>：</w:t>
      </w:r>
    </w:p>
    <w:p w14:paraId="2470C587">
      <w:pPr>
        <w:pStyle w:val="13"/>
        <w:spacing w:line="360" w:lineRule="auto"/>
        <w:ind w:firstLine="662" w:firstLineChars="207"/>
        <w:rPr>
          <w:sz w:val="32"/>
          <w:szCs w:val="32"/>
        </w:rPr>
      </w:pPr>
      <w:r>
        <w:rPr>
          <w:rFonts w:hint="eastAsia"/>
          <w:sz w:val="32"/>
          <w:szCs w:val="32"/>
        </w:rPr>
        <w:t>你单位呈报的《关于天津港高沙岭港区支航道一期工程环境影响审批申请表》、天津环科环境咨询有限公司《关于天津港高沙岭港区支航道一期工程环境影响报告书的技术评估报告》（</w:t>
      </w:r>
      <w:bookmarkStart w:id="0" w:name="_GoBack"/>
      <w:r>
        <w:rPr>
          <w:rFonts w:hint="eastAsia"/>
          <w:sz w:val="32"/>
          <w:szCs w:val="32"/>
          <w:lang w:val="en-US" w:eastAsia="zh-CN"/>
        </w:rPr>
        <w:t>保税</w:t>
      </w:r>
      <w:r>
        <w:rPr>
          <w:rFonts w:hint="eastAsia"/>
          <w:sz w:val="32"/>
          <w:szCs w:val="32"/>
        </w:rPr>
        <w:t>评估书[202</w:t>
      </w:r>
      <w:r>
        <w:rPr>
          <w:rFonts w:hint="eastAsia"/>
          <w:sz w:val="32"/>
          <w:szCs w:val="32"/>
          <w:lang w:val="en-US" w:eastAsia="zh-CN"/>
        </w:rPr>
        <w:t>6</w:t>
      </w:r>
      <w:r>
        <w:rPr>
          <w:rFonts w:hint="eastAsia"/>
          <w:sz w:val="32"/>
          <w:szCs w:val="32"/>
        </w:rPr>
        <w:t>]00</w:t>
      </w:r>
      <w:r>
        <w:rPr>
          <w:rFonts w:hint="eastAsia"/>
          <w:sz w:val="32"/>
          <w:szCs w:val="32"/>
          <w:lang w:val="en-US" w:eastAsia="zh-CN"/>
        </w:rPr>
        <w:t>1</w:t>
      </w:r>
      <w:r>
        <w:rPr>
          <w:rFonts w:hint="eastAsia"/>
          <w:sz w:val="32"/>
          <w:szCs w:val="32"/>
        </w:rPr>
        <w:t>号</w:t>
      </w:r>
      <w:bookmarkEnd w:id="0"/>
      <w:r>
        <w:rPr>
          <w:rFonts w:hint="eastAsia"/>
          <w:sz w:val="32"/>
          <w:szCs w:val="32"/>
        </w:rPr>
        <w:t>）、天科院环境科技发展（天津）有限公司编制的《天津港高沙岭港区支航道一期工程环境影响报告</w:t>
      </w:r>
      <w:r>
        <w:rPr>
          <w:rFonts w:hint="eastAsia"/>
          <w:sz w:val="32"/>
          <w:szCs w:val="32"/>
          <w:lang w:val="en-US" w:eastAsia="zh-CN"/>
        </w:rPr>
        <w:t>书</w:t>
      </w:r>
      <w:r>
        <w:rPr>
          <w:rFonts w:hint="eastAsia"/>
          <w:sz w:val="32"/>
          <w:szCs w:val="32"/>
        </w:rPr>
        <w:t>》（以下简称“报告</w:t>
      </w:r>
      <w:r>
        <w:rPr>
          <w:rFonts w:hint="eastAsia"/>
          <w:sz w:val="32"/>
          <w:szCs w:val="32"/>
          <w:lang w:val="en-US" w:eastAsia="zh-CN"/>
        </w:rPr>
        <w:t>书</w:t>
      </w:r>
      <w:r>
        <w:rPr>
          <w:rFonts w:hint="eastAsia"/>
          <w:sz w:val="32"/>
          <w:szCs w:val="32"/>
        </w:rPr>
        <w:t>”）收悉</w:t>
      </w:r>
      <w:r>
        <w:rPr>
          <w:sz w:val="32"/>
          <w:szCs w:val="32"/>
        </w:rPr>
        <w:t>。经研究，批复如下：</w:t>
      </w:r>
    </w:p>
    <w:p w14:paraId="7C9FD1B6">
      <w:pPr>
        <w:pStyle w:val="13"/>
        <w:spacing w:line="360" w:lineRule="auto"/>
        <w:ind w:firstLine="662" w:firstLineChars="207"/>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cs="Times New Roman"/>
          <w:sz w:val="32"/>
          <w:szCs w:val="32"/>
        </w:rPr>
        <w:t>一、</w:t>
      </w:r>
      <w:r>
        <w:rPr>
          <w:rFonts w:hint="eastAsia" w:ascii="Times New Roman" w:hAnsi="Times New Roman" w:eastAsia="仿宋_GB2312" w:cs="Times New Roman"/>
          <w:color w:val="auto"/>
          <w:kern w:val="2"/>
          <w:sz w:val="32"/>
          <w:szCs w:val="32"/>
          <w:lang w:val="en-US" w:eastAsia="zh-CN" w:bidi="ar-SA"/>
        </w:rPr>
        <w:t>天津临港产业投资控股有限公司拟投资33373.45万元</w:t>
      </w:r>
      <w:r>
        <w:rPr>
          <w:rFonts w:hint="eastAsia" w:cs="Times New Roman"/>
          <w:color w:val="auto"/>
          <w:kern w:val="2"/>
          <w:sz w:val="32"/>
          <w:szCs w:val="32"/>
          <w:lang w:val="en-US" w:eastAsia="zh-CN" w:bidi="ar-SA"/>
        </w:rPr>
        <w:t>建设</w:t>
      </w:r>
      <w:r>
        <w:rPr>
          <w:rFonts w:hint="eastAsia" w:ascii="Times New Roman" w:hAnsi="Times New Roman" w:eastAsia="仿宋_GB2312" w:cs="Times New Roman"/>
          <w:color w:val="auto"/>
          <w:kern w:val="2"/>
          <w:sz w:val="32"/>
          <w:szCs w:val="32"/>
          <w:lang w:val="en-US" w:eastAsia="zh-CN" w:bidi="ar-SA"/>
        </w:rPr>
        <w:t>天津港高沙岭港区支航道一期工程，项目位于天津港保税区临港区域</w:t>
      </w:r>
      <w:r>
        <w:rPr>
          <w:rFonts w:hint="default" w:ascii="Times New Roman" w:hAnsi="Times New Roman" w:eastAsia="仿宋_GB2312" w:cs="Times New Roman"/>
          <w:color w:val="auto"/>
          <w:kern w:val="2"/>
          <w:sz w:val="32"/>
          <w:szCs w:val="32"/>
          <w:lang w:val="en-US" w:eastAsia="zh-CN" w:bidi="ar-SA"/>
        </w:rPr>
        <w:t>天津港高沙岭港区</w:t>
      </w:r>
      <w:r>
        <w:rPr>
          <w:rFonts w:hint="eastAsia" w:ascii="Times New Roman" w:hAnsi="Times New Roman" w:eastAsia="仿宋_GB2312" w:cs="Times New Roman"/>
          <w:color w:val="auto"/>
          <w:kern w:val="2"/>
          <w:sz w:val="32"/>
          <w:szCs w:val="32"/>
          <w:lang w:val="en-US" w:eastAsia="zh-CN" w:bidi="ar-SA"/>
        </w:rPr>
        <w:t>，选址符合</w:t>
      </w:r>
      <w:r>
        <w:rPr>
          <w:rFonts w:hint="eastAsia" w:cs="Times New Roman"/>
          <w:color w:val="auto"/>
          <w:kern w:val="2"/>
          <w:sz w:val="32"/>
          <w:szCs w:val="32"/>
          <w:lang w:val="en-US" w:eastAsia="zh-CN" w:bidi="ar-SA"/>
        </w:rPr>
        <w:t>港</w:t>
      </w:r>
      <w:r>
        <w:rPr>
          <w:rFonts w:hint="eastAsia" w:ascii="Times New Roman" w:hAnsi="Times New Roman" w:eastAsia="仿宋_GB2312" w:cs="Times New Roman"/>
          <w:color w:val="auto"/>
          <w:kern w:val="2"/>
          <w:sz w:val="32"/>
          <w:szCs w:val="32"/>
          <w:lang w:val="en-US" w:eastAsia="zh-CN" w:bidi="ar-SA"/>
        </w:rPr>
        <w:t>区规划。</w:t>
      </w:r>
    </w:p>
    <w:p w14:paraId="7F11397F">
      <w:pPr>
        <w:pStyle w:val="13"/>
        <w:spacing w:line="360" w:lineRule="auto"/>
        <w:ind w:firstLine="662" w:firstLineChars="207"/>
        <w:rPr>
          <w:rFonts w:hint="eastAsia" w:ascii="Times New Roman" w:hAnsi="Times New Roman" w:cs="Times New Roman"/>
          <w:sz w:val="32"/>
          <w:szCs w:val="32"/>
        </w:rPr>
      </w:pPr>
      <w:r>
        <w:rPr>
          <w:rFonts w:hint="eastAsia" w:ascii="Times New Roman" w:hAnsi="Times New Roman" w:cs="Times New Roman"/>
          <w:sz w:val="32"/>
          <w:szCs w:val="32"/>
        </w:rPr>
        <w:t>项目主要建设内容包括：天津港高沙岭港区支航道一期工程总长度为17.8公里，其中一支航道10.45公里，二支航道7.35公里，航道设计底高程为-12.7米(以天津港理论最低潮面为基准，下同)，挖槽宽度为158米，通航底高程为-12.0米，通航宽度为165米，航道边坡坡度为1：5，同时新建15座浮标(另备用5座)，移位17座浮标，撤除1座浮标。运营期的维护性疏浚工程不在本次评价范围内。环保投资</w:t>
      </w:r>
      <w:r>
        <w:rPr>
          <w:rFonts w:hint="eastAsia" w:cs="Times New Roman"/>
          <w:sz w:val="32"/>
          <w:szCs w:val="32"/>
          <w:lang w:val="en-US" w:eastAsia="zh-CN"/>
        </w:rPr>
        <w:t>873.48</w:t>
      </w:r>
      <w:r>
        <w:rPr>
          <w:rFonts w:hint="eastAsia" w:ascii="Times New Roman" w:hAnsi="Times New Roman" w:cs="Times New Roman"/>
          <w:sz w:val="32"/>
          <w:szCs w:val="32"/>
        </w:rPr>
        <w:t>万元，占总投资的2.62%，主要用于施工期污染防治、生态保护与恢复等。</w:t>
      </w:r>
    </w:p>
    <w:p w14:paraId="41E330DD">
      <w:pPr>
        <w:pStyle w:val="13"/>
        <w:spacing w:line="360" w:lineRule="auto"/>
        <w:ind w:firstLine="662" w:firstLineChars="207"/>
        <w:rPr>
          <w:sz w:val="32"/>
          <w:szCs w:val="32"/>
        </w:rPr>
      </w:pPr>
      <w:r>
        <w:rPr>
          <w:sz w:val="32"/>
          <w:szCs w:val="32"/>
        </w:rPr>
        <w:t>202</w:t>
      </w:r>
      <w:r>
        <w:rPr>
          <w:rFonts w:hint="eastAsia"/>
          <w:sz w:val="32"/>
          <w:szCs w:val="32"/>
          <w:lang w:val="en-US" w:eastAsia="zh-CN"/>
        </w:rPr>
        <w:t>6</w:t>
      </w:r>
      <w:r>
        <w:rPr>
          <w:sz w:val="32"/>
          <w:szCs w:val="32"/>
        </w:rPr>
        <w:t>年</w:t>
      </w:r>
      <w:r>
        <w:rPr>
          <w:rFonts w:hint="eastAsia"/>
          <w:sz w:val="32"/>
          <w:szCs w:val="32"/>
          <w:lang w:val="en-US" w:eastAsia="zh-CN"/>
        </w:rPr>
        <w:t>2</w:t>
      </w:r>
      <w:r>
        <w:rPr>
          <w:sz w:val="32"/>
          <w:szCs w:val="32"/>
        </w:rPr>
        <w:t>月</w:t>
      </w:r>
      <w:r>
        <w:rPr>
          <w:rFonts w:hint="eastAsia"/>
          <w:sz w:val="32"/>
          <w:szCs w:val="32"/>
          <w:lang w:val="en-US" w:eastAsia="zh-CN"/>
        </w:rPr>
        <w:t>3</w:t>
      </w:r>
      <w:r>
        <w:rPr>
          <w:sz w:val="32"/>
          <w:szCs w:val="32"/>
        </w:rPr>
        <w:t>日至</w:t>
      </w:r>
      <w:r>
        <w:rPr>
          <w:rFonts w:hint="eastAsia"/>
          <w:sz w:val="32"/>
          <w:szCs w:val="32"/>
          <w:lang w:val="en-US" w:eastAsia="zh-CN"/>
        </w:rPr>
        <w:t>2</w:t>
      </w:r>
      <w:r>
        <w:rPr>
          <w:sz w:val="32"/>
          <w:szCs w:val="32"/>
        </w:rPr>
        <w:t>月</w:t>
      </w:r>
      <w:r>
        <w:rPr>
          <w:rFonts w:hint="eastAsia"/>
          <w:sz w:val="32"/>
          <w:szCs w:val="32"/>
          <w:lang w:val="en-US" w:eastAsia="zh-CN"/>
        </w:rPr>
        <w:t>14</w:t>
      </w:r>
      <w:r>
        <w:rPr>
          <w:sz w:val="32"/>
          <w:szCs w:val="32"/>
        </w:rPr>
        <w:t>日，我局将该项目受理情况进行公示；</w:t>
      </w:r>
      <w:r>
        <w:rPr>
          <w:rFonts w:hint="eastAsia"/>
          <w:sz w:val="32"/>
          <w:szCs w:val="32"/>
          <w:lang w:val="en-US" w:eastAsia="zh-CN"/>
        </w:rPr>
        <w:t>2</w:t>
      </w:r>
      <w:r>
        <w:rPr>
          <w:sz w:val="32"/>
          <w:szCs w:val="32"/>
        </w:rPr>
        <w:t>月</w:t>
      </w:r>
      <w:r>
        <w:rPr>
          <w:rFonts w:hint="eastAsia"/>
          <w:sz w:val="32"/>
          <w:szCs w:val="32"/>
          <w:lang w:val="en-US" w:eastAsia="zh-CN"/>
        </w:rPr>
        <w:t>24</w:t>
      </w:r>
      <w:r>
        <w:rPr>
          <w:sz w:val="32"/>
          <w:szCs w:val="32"/>
        </w:rPr>
        <w:t>日至</w:t>
      </w:r>
      <w:r>
        <w:rPr>
          <w:rFonts w:hint="eastAsia"/>
          <w:sz w:val="32"/>
          <w:szCs w:val="32"/>
          <w:lang w:val="en-US" w:eastAsia="zh-CN"/>
        </w:rPr>
        <w:t>2</w:t>
      </w:r>
      <w:r>
        <w:rPr>
          <w:sz w:val="32"/>
          <w:szCs w:val="32"/>
        </w:rPr>
        <w:t>月</w:t>
      </w:r>
      <w:r>
        <w:rPr>
          <w:rFonts w:hint="eastAsia"/>
          <w:sz w:val="32"/>
          <w:szCs w:val="32"/>
          <w:lang w:val="en-US" w:eastAsia="zh-CN"/>
        </w:rPr>
        <w:t>28</w:t>
      </w:r>
      <w:r>
        <w:rPr>
          <w:sz w:val="32"/>
          <w:szCs w:val="32"/>
        </w:rPr>
        <w:t>日，将该项目拟批复情况进行公示；根据公众反馈意见情况及环评报告结论，在严格落实环评报告所提出的各项污染防治措施、确保各类污染物稳定达标的前提下，同意该</w:t>
      </w:r>
      <w:r>
        <w:rPr>
          <w:rFonts w:hint="eastAsia"/>
          <w:sz w:val="32"/>
          <w:szCs w:val="32"/>
        </w:rPr>
        <w:t>项目</w:t>
      </w:r>
      <w:r>
        <w:rPr>
          <w:sz w:val="32"/>
          <w:szCs w:val="32"/>
        </w:rPr>
        <w:t>建设。</w:t>
      </w:r>
    </w:p>
    <w:p w14:paraId="5DA68CE0">
      <w:pPr>
        <w:spacing w:line="360" w:lineRule="auto"/>
        <w:ind w:firstLine="640" w:firstLineChars="200"/>
        <w:textAlignment w:val="baseline"/>
        <w:rPr>
          <w:rFonts w:ascii="Times New Roman"/>
        </w:rPr>
      </w:pPr>
      <w:r>
        <w:rPr>
          <w:rFonts w:hint="eastAsia" w:ascii="Times New Roman"/>
        </w:rPr>
        <w:t>二、</w:t>
      </w:r>
      <w:r>
        <w:rPr>
          <w:rFonts w:ascii="Times New Roman"/>
        </w:rPr>
        <w:t>你公司应严格落实报告书所提出的各项污染防治与生态环境</w:t>
      </w:r>
      <w:r>
        <w:rPr>
          <w:rFonts w:hint="eastAsia" w:ascii="Times New Roman"/>
        </w:rPr>
        <w:t>保护措施。</w:t>
      </w:r>
    </w:p>
    <w:p w14:paraId="5D723B07">
      <w:pPr>
        <w:spacing w:line="360" w:lineRule="auto"/>
        <w:ind w:firstLine="640" w:firstLineChars="200"/>
        <w:rPr>
          <w:rFonts w:hint="eastAsia" w:ascii="Times New Roman" w:hAnsi="Times New Roman" w:eastAsia="仿宋_GB2312"/>
          <w:lang w:eastAsia="zh-CN"/>
        </w:rPr>
      </w:pPr>
      <w:r>
        <w:rPr>
          <w:rFonts w:hint="eastAsia" w:ascii="Times New Roman"/>
        </w:rPr>
        <w:t>1.落实报告书提出的海洋</w:t>
      </w:r>
      <w:r>
        <w:rPr>
          <w:rFonts w:ascii="Times New Roman"/>
        </w:rPr>
        <w:t>生态保护措施，</w:t>
      </w:r>
      <w:r>
        <w:rPr>
          <w:rFonts w:hint="eastAsia" w:ascii="Times New Roman"/>
        </w:rPr>
        <w:t>做好生态</w:t>
      </w:r>
      <w:r>
        <w:rPr>
          <w:rFonts w:hint="eastAsia" w:ascii="Times New Roman"/>
          <w:lang w:val="en-US" w:eastAsia="zh-CN"/>
        </w:rPr>
        <w:t>恢复</w:t>
      </w:r>
      <w:r>
        <w:rPr>
          <w:rFonts w:hint="eastAsia" w:ascii="Times New Roman"/>
        </w:rPr>
        <w:t>工作。</w:t>
      </w:r>
      <w:r>
        <w:rPr>
          <w:rFonts w:ascii="Times New Roman"/>
        </w:rPr>
        <w:t>落实报告</w:t>
      </w:r>
      <w:r>
        <w:rPr>
          <w:rFonts w:hint="eastAsia" w:ascii="Times New Roman"/>
        </w:rPr>
        <w:t>书</w:t>
      </w:r>
      <w:r>
        <w:rPr>
          <w:rFonts w:ascii="Times New Roman"/>
        </w:rPr>
        <w:t>提出的环境监测计划，</w:t>
      </w:r>
      <w:r>
        <w:rPr>
          <w:rFonts w:hint="eastAsia" w:ascii="Times New Roman"/>
        </w:rPr>
        <w:t>统筹做好监测工作</w:t>
      </w:r>
      <w:r>
        <w:rPr>
          <w:rFonts w:hint="eastAsia" w:ascii="Times New Roman"/>
          <w:lang w:eastAsia="zh-CN"/>
        </w:rPr>
        <w:t>。</w:t>
      </w:r>
    </w:p>
    <w:p w14:paraId="2C960D00">
      <w:pPr>
        <w:spacing w:line="360" w:lineRule="auto"/>
        <w:ind w:firstLine="640" w:firstLineChars="200"/>
        <w:rPr>
          <w:rFonts w:ascii="Times New Roman" w:hAnsi="Times New Roman" w:eastAsia="仿宋_GB2312" w:cs="Times New Roman"/>
          <w:kern w:val="24"/>
          <w:sz w:val="32"/>
          <w:szCs w:val="32"/>
          <w:lang w:val="en-US" w:eastAsia="zh-CN" w:bidi="ar-SA"/>
        </w:rPr>
      </w:pPr>
      <w:r>
        <w:rPr>
          <w:rFonts w:hint="eastAsia" w:ascii="Times New Roman" w:hAnsi="Times New Roman" w:eastAsia="仿宋_GB2312" w:cs="Times New Roman"/>
          <w:kern w:val="24"/>
          <w:sz w:val="32"/>
          <w:szCs w:val="32"/>
          <w:lang w:val="en-US" w:eastAsia="zh-CN" w:bidi="ar-SA"/>
        </w:rPr>
        <w:t>2.</w:t>
      </w:r>
      <w:r>
        <w:rPr>
          <w:rFonts w:ascii="Times New Roman" w:hAnsi="Times New Roman" w:eastAsia="仿宋_GB2312" w:cs="Times New Roman"/>
          <w:kern w:val="24"/>
          <w:sz w:val="32"/>
          <w:szCs w:val="32"/>
          <w:lang w:val="en-US" w:eastAsia="zh-CN" w:bidi="ar-SA"/>
        </w:rPr>
        <w:t>落实报告</w:t>
      </w:r>
      <w:r>
        <w:rPr>
          <w:rFonts w:hint="eastAsia" w:ascii="Times New Roman" w:hAnsi="Times New Roman" w:eastAsia="仿宋_GB2312" w:cs="Times New Roman"/>
          <w:kern w:val="24"/>
          <w:sz w:val="32"/>
          <w:szCs w:val="32"/>
          <w:lang w:val="en-US" w:eastAsia="zh-CN" w:bidi="ar-SA"/>
        </w:rPr>
        <w:t>书</w:t>
      </w:r>
      <w:r>
        <w:rPr>
          <w:rFonts w:ascii="Times New Roman" w:hAnsi="Times New Roman" w:eastAsia="仿宋_GB2312" w:cs="Times New Roman"/>
          <w:kern w:val="24"/>
          <w:sz w:val="32"/>
          <w:szCs w:val="32"/>
          <w:lang w:val="en-US" w:eastAsia="zh-CN" w:bidi="ar-SA"/>
        </w:rPr>
        <w:t>提出的风险事故的防范措施，加强对环境风险的防治工作，强化管理</w:t>
      </w:r>
      <w:r>
        <w:rPr>
          <w:rFonts w:hint="eastAsia" w:ascii="Times New Roman" w:hAnsi="Times New Roman" w:eastAsia="仿宋_GB2312" w:cs="Times New Roman"/>
          <w:kern w:val="24"/>
          <w:sz w:val="32"/>
          <w:szCs w:val="32"/>
          <w:lang w:val="en-US" w:eastAsia="zh-CN" w:bidi="ar-SA"/>
        </w:rPr>
        <w:t>，同时做好与区域应急预案的衔接，</w:t>
      </w:r>
      <w:r>
        <w:rPr>
          <w:rFonts w:ascii="Times New Roman" w:hAnsi="Times New Roman" w:eastAsia="仿宋_GB2312" w:cs="Times New Roman"/>
          <w:kern w:val="24"/>
          <w:sz w:val="32"/>
          <w:szCs w:val="32"/>
          <w:lang w:val="en-US" w:eastAsia="zh-CN" w:bidi="ar-SA"/>
        </w:rPr>
        <w:t>统筹做好应急能力保障工作，防止发生环境</w:t>
      </w:r>
      <w:r>
        <w:rPr>
          <w:rFonts w:hint="eastAsia" w:ascii="Times New Roman" w:hAnsi="Times New Roman" w:eastAsia="仿宋_GB2312" w:cs="Times New Roman"/>
          <w:kern w:val="24"/>
          <w:sz w:val="32"/>
          <w:szCs w:val="32"/>
          <w:lang w:val="en-US" w:eastAsia="zh-CN" w:bidi="ar-SA"/>
        </w:rPr>
        <w:t>风险</w:t>
      </w:r>
      <w:r>
        <w:rPr>
          <w:rFonts w:ascii="Times New Roman" w:hAnsi="Times New Roman" w:eastAsia="仿宋_GB2312" w:cs="Times New Roman"/>
          <w:kern w:val="24"/>
          <w:sz w:val="32"/>
          <w:szCs w:val="32"/>
          <w:lang w:val="en-US" w:eastAsia="zh-CN" w:bidi="ar-SA"/>
        </w:rPr>
        <w:t>事故。</w:t>
      </w:r>
    </w:p>
    <w:p w14:paraId="7DC1DEC3">
      <w:pPr>
        <w:spacing w:line="360" w:lineRule="auto"/>
        <w:ind w:firstLine="640" w:firstLineChars="200"/>
        <w:rPr>
          <w:rFonts w:hint="eastAsia" w:ascii="仿宋_GB2312" w:hAnsi="仿宋_GB2312" w:eastAsia="仿宋_GB2312" w:cs="仿宋_GB2312"/>
          <w:sz w:val="32"/>
          <w:szCs w:val="32"/>
          <w:lang w:val="en-US" w:eastAsia="zh-CN"/>
        </w:rPr>
      </w:pPr>
      <w:r>
        <w:rPr>
          <w:rFonts w:ascii="Times New Roman"/>
        </w:rPr>
        <w:t>三、</w:t>
      </w:r>
      <w:r>
        <w:rPr>
          <w:rFonts w:hint="eastAsia" w:ascii="仿宋_GB2312" w:hAnsi="仿宋_GB2312" w:eastAsia="仿宋_GB2312" w:cs="仿宋_GB2312"/>
          <w:sz w:val="32"/>
          <w:szCs w:val="32"/>
          <w:lang w:val="en-US" w:eastAsia="zh-CN"/>
        </w:rPr>
        <w:t>根据《水产种质资源保护区管理暂行办法》的相关规定，你单位应按照渔业主管部门的要求，依法开展该工程对辽东湾渤海湾莱州湾国家级水产种质资源保护区的影响专题论证工作，并按规定程序报有审批权限部门进行审批，按要求组织落实补偿措施。</w:t>
      </w:r>
    </w:p>
    <w:p w14:paraId="620288A8">
      <w:pPr>
        <w:spacing w:line="360" w:lineRule="auto"/>
        <w:ind w:firstLine="640" w:firstLineChars="200"/>
        <w:rPr>
          <w:rFonts w:ascii="Times New Roman" w:hAnsi="Times New Roman"/>
        </w:rPr>
      </w:pPr>
      <w:r>
        <w:rPr>
          <w:sz w:val="32"/>
          <w:szCs w:val="32"/>
        </w:rPr>
        <w:t>四、</w:t>
      </w:r>
      <w:r>
        <w:rPr>
          <w:rFonts w:ascii="Times New Roman"/>
        </w:rPr>
        <w:t>项目建设应严格执行环境保护设施与主体工程同时设计、同时施工、同时投产使用的</w:t>
      </w:r>
      <w:r>
        <w:rPr>
          <w:rFonts w:ascii="Times New Roman" w:hAnsi="Times New Roman"/>
        </w:rPr>
        <w:t>“</w:t>
      </w:r>
      <w:r>
        <w:rPr>
          <w:rFonts w:ascii="Times New Roman"/>
        </w:rPr>
        <w:t>三同时</w:t>
      </w:r>
      <w:r>
        <w:rPr>
          <w:rFonts w:ascii="Times New Roman" w:hAnsi="Times New Roman"/>
        </w:rPr>
        <w:t>”</w:t>
      </w:r>
      <w:r>
        <w:rPr>
          <w:rFonts w:ascii="Times New Roman"/>
        </w:rPr>
        <w:t>管理制度。项目应按规定标准和程序开展环境保护验收，经验收合格后方可正式投入运营。</w:t>
      </w:r>
    </w:p>
    <w:p w14:paraId="7D2AF4B1">
      <w:pPr>
        <w:pStyle w:val="13"/>
        <w:spacing w:line="360" w:lineRule="auto"/>
        <w:ind w:firstLine="662" w:firstLineChars="207"/>
        <w:rPr>
          <w:sz w:val="32"/>
          <w:szCs w:val="32"/>
        </w:rPr>
      </w:pPr>
      <w:r>
        <w:rPr>
          <w:rFonts w:hint="eastAsia"/>
          <w:sz w:val="32"/>
          <w:szCs w:val="32"/>
          <w:lang w:val="en-US" w:eastAsia="zh-CN"/>
        </w:rPr>
        <w:t>五</w:t>
      </w:r>
      <w:r>
        <w:rPr>
          <w:sz w:val="32"/>
          <w:szCs w:val="32"/>
        </w:rPr>
        <w:t>、若建设项目发生重大变动，需重新报批建设项目的环境影响评价文件。</w:t>
      </w:r>
    </w:p>
    <w:p w14:paraId="27C27C11">
      <w:pPr>
        <w:pStyle w:val="13"/>
        <w:spacing w:line="360" w:lineRule="auto"/>
        <w:ind w:firstLine="662" w:firstLineChars="207"/>
        <w:rPr>
          <w:sz w:val="32"/>
          <w:szCs w:val="32"/>
        </w:rPr>
      </w:pPr>
      <w:r>
        <w:rPr>
          <w:rFonts w:hint="eastAsia"/>
          <w:sz w:val="32"/>
          <w:szCs w:val="32"/>
          <w:lang w:val="en-US" w:eastAsia="zh-CN"/>
        </w:rPr>
        <w:t>六</w:t>
      </w:r>
      <w:r>
        <w:rPr>
          <w:rFonts w:hint="eastAsia"/>
          <w:sz w:val="32"/>
          <w:szCs w:val="32"/>
        </w:rPr>
        <w:t>、</w:t>
      </w:r>
      <w:r>
        <w:rPr>
          <w:sz w:val="32"/>
          <w:szCs w:val="32"/>
        </w:rPr>
        <w:t>项目应执行以下标准：</w:t>
      </w:r>
    </w:p>
    <w:p w14:paraId="21CF40DC">
      <w:pPr>
        <w:spacing w:line="360" w:lineRule="auto"/>
        <w:ind w:firstLine="640" w:firstLineChars="200"/>
        <w:rPr>
          <w:rFonts w:ascii="Times New Roman" w:hAnsi="Times New Roman"/>
        </w:rPr>
      </w:pPr>
      <w:r>
        <w:rPr>
          <w:rFonts w:hint="eastAsia" w:ascii="Times New Roman" w:hAnsi="Times New Roman"/>
        </w:rPr>
        <w:t>1.《环境空气质量标准》（</w:t>
      </w:r>
      <w:r>
        <w:rPr>
          <w:rFonts w:ascii="Times New Roman" w:hAnsi="Times New Roman"/>
        </w:rPr>
        <w:t>GB3095-1996</w:t>
      </w:r>
      <w:r>
        <w:rPr>
          <w:rFonts w:hint="eastAsia" w:ascii="Times New Roman" w:hAnsi="Times New Roman"/>
        </w:rPr>
        <w:t>）；</w:t>
      </w:r>
    </w:p>
    <w:p w14:paraId="226CA987">
      <w:pPr>
        <w:spacing w:line="360" w:lineRule="auto"/>
        <w:ind w:firstLine="640" w:firstLineChars="200"/>
        <w:rPr>
          <w:rFonts w:ascii="Times New Roman" w:hAnsi="Times New Roman"/>
        </w:rPr>
      </w:pPr>
      <w:r>
        <w:rPr>
          <w:rFonts w:hint="eastAsia" w:ascii="Times New Roman" w:hAnsi="Times New Roman"/>
        </w:rPr>
        <w:t>2.《海水水质标准》（</w:t>
      </w:r>
      <w:r>
        <w:rPr>
          <w:rFonts w:ascii="Times New Roman" w:hAnsi="Times New Roman"/>
        </w:rPr>
        <w:t>GB3097-1997</w:t>
      </w:r>
      <w:r>
        <w:rPr>
          <w:rFonts w:hint="eastAsia" w:ascii="Times New Roman" w:hAnsi="Times New Roman"/>
        </w:rPr>
        <w:t>）；</w:t>
      </w:r>
    </w:p>
    <w:p w14:paraId="7B5ADF52">
      <w:pPr>
        <w:spacing w:line="360" w:lineRule="auto"/>
        <w:ind w:firstLine="640" w:firstLineChars="200"/>
        <w:rPr>
          <w:rFonts w:ascii="Times New Roman" w:hAnsi="Times New Roman"/>
        </w:rPr>
      </w:pPr>
      <w:r>
        <w:rPr>
          <w:rFonts w:hint="eastAsia" w:ascii="Times New Roman" w:hAnsi="Times New Roman"/>
        </w:rPr>
        <w:t>3.《海洋沉积物质量标准》（</w:t>
      </w:r>
      <w:r>
        <w:rPr>
          <w:rFonts w:ascii="Times New Roman" w:hAnsi="Times New Roman"/>
        </w:rPr>
        <w:t>GB18668-2002</w:t>
      </w:r>
      <w:r>
        <w:rPr>
          <w:rFonts w:hint="eastAsia" w:ascii="Times New Roman" w:hAnsi="Times New Roman"/>
        </w:rPr>
        <w:t>）；</w:t>
      </w:r>
    </w:p>
    <w:p w14:paraId="6F745156">
      <w:pPr>
        <w:spacing w:line="360" w:lineRule="auto"/>
        <w:ind w:firstLine="640" w:firstLineChars="200"/>
        <w:rPr>
          <w:rFonts w:ascii="Times New Roman" w:hAnsi="Times New Roman"/>
        </w:rPr>
      </w:pPr>
      <w:r>
        <w:rPr>
          <w:rFonts w:hint="eastAsia" w:ascii="Times New Roman" w:hAnsi="Times New Roman"/>
        </w:rPr>
        <w:t>4.《海洋生物质量》（</w:t>
      </w:r>
      <w:r>
        <w:rPr>
          <w:rFonts w:ascii="Times New Roman" w:hAnsi="Times New Roman"/>
        </w:rPr>
        <w:t>GB18421-2001</w:t>
      </w:r>
      <w:r>
        <w:rPr>
          <w:rFonts w:hint="eastAsia" w:ascii="Times New Roman" w:hAnsi="Times New Roman"/>
        </w:rPr>
        <w:t>）；</w:t>
      </w:r>
    </w:p>
    <w:p w14:paraId="2D41D794">
      <w:pPr>
        <w:spacing w:line="360" w:lineRule="auto"/>
        <w:ind w:firstLine="640" w:firstLineChars="200"/>
        <w:rPr>
          <w:rFonts w:ascii="Times New Roman" w:hAnsi="Times New Roman"/>
        </w:rPr>
      </w:pPr>
      <w:r>
        <w:rPr>
          <w:rFonts w:hint="eastAsia"/>
        </w:rPr>
        <w:t>5.</w:t>
      </w:r>
      <w:r>
        <w:rPr>
          <w:rFonts w:hint="eastAsia" w:ascii="宋体" w:hAnsi="Times New Roman" w:eastAsia="宋体" w:cs="宋体"/>
          <w:kern w:val="0"/>
          <w:sz w:val="24"/>
          <w:szCs w:val="24"/>
        </w:rPr>
        <w:t xml:space="preserve"> </w:t>
      </w:r>
      <w:r>
        <w:rPr>
          <w:rFonts w:hint="eastAsia"/>
        </w:rPr>
        <w:t>《环境影响评价技术导则—海洋生态环境》（</w:t>
      </w:r>
      <w:r>
        <w:rPr>
          <w:rFonts w:ascii="Times New Roman" w:hAnsi="Times New Roman"/>
        </w:rPr>
        <w:t>HJ1409-2025</w:t>
      </w:r>
      <w:r>
        <w:rPr>
          <w:rFonts w:hint="eastAsia"/>
        </w:rPr>
        <w:t>）；</w:t>
      </w:r>
    </w:p>
    <w:p w14:paraId="6F640543">
      <w:pPr>
        <w:spacing w:line="360" w:lineRule="auto"/>
        <w:ind w:firstLine="640" w:firstLineChars="200"/>
        <w:rPr>
          <w:rFonts w:ascii="Times New Roman" w:hAnsi="Times New Roman"/>
        </w:rPr>
      </w:pPr>
      <w:r>
        <w:rPr>
          <w:rFonts w:hint="eastAsia" w:ascii="Times New Roman" w:hAnsi="Times New Roman"/>
        </w:rPr>
        <w:t>6.《船舶水污染物排放控制标准》（</w:t>
      </w:r>
      <w:r>
        <w:rPr>
          <w:rFonts w:ascii="Times New Roman" w:hAnsi="Times New Roman"/>
        </w:rPr>
        <w:t>GB</w:t>
      </w:r>
      <w:r>
        <w:rPr>
          <w:rFonts w:hint="eastAsia" w:ascii="Times New Roman" w:hAnsi="Times New Roman"/>
        </w:rPr>
        <w:t>3552</w:t>
      </w:r>
      <w:r>
        <w:rPr>
          <w:rFonts w:ascii="Times New Roman" w:hAnsi="Times New Roman"/>
        </w:rPr>
        <w:t>-20</w:t>
      </w:r>
      <w:r>
        <w:rPr>
          <w:rFonts w:hint="eastAsia" w:ascii="Times New Roman" w:hAnsi="Times New Roman"/>
        </w:rPr>
        <w:t>18）。</w:t>
      </w:r>
    </w:p>
    <w:p w14:paraId="69368D22">
      <w:pPr>
        <w:spacing w:line="360" w:lineRule="auto"/>
        <w:ind w:firstLine="640" w:firstLineChars="200"/>
        <w:rPr>
          <w:rFonts w:ascii="Times New Roman" w:hAnsi="Times New Roman"/>
        </w:rPr>
      </w:pPr>
      <w:r>
        <w:rPr>
          <w:rFonts w:ascii="Times New Roman"/>
        </w:rPr>
        <w:t>此复</w:t>
      </w:r>
      <w:r>
        <w:rPr>
          <w:rFonts w:hint="eastAsia" w:ascii="Times New Roman"/>
        </w:rPr>
        <w:t>。</w:t>
      </w:r>
    </w:p>
    <w:p w14:paraId="52454CE8">
      <w:pPr>
        <w:spacing w:line="360" w:lineRule="auto"/>
        <w:jc w:val="right"/>
        <w:rPr>
          <w:rFonts w:ascii="Times New Roman" w:hAnsi="Times New Roman"/>
        </w:rPr>
      </w:pPr>
    </w:p>
    <w:p w14:paraId="3DFBE702">
      <w:pPr>
        <w:spacing w:line="360" w:lineRule="auto"/>
        <w:jc w:val="right"/>
        <w:rPr>
          <w:rFonts w:ascii="Times New Roman" w:hAnsi="Times New Roman"/>
        </w:rPr>
      </w:pPr>
    </w:p>
    <w:p w14:paraId="2AB2BE9C">
      <w:pPr>
        <w:spacing w:line="360" w:lineRule="auto"/>
        <w:jc w:val="right"/>
        <w:rPr>
          <w:rFonts w:ascii="Times New Roman" w:hAnsi="Times New Roman"/>
        </w:rPr>
      </w:pPr>
    </w:p>
    <w:p w14:paraId="31BF1B0F">
      <w:pPr>
        <w:tabs>
          <w:tab w:val="left" w:pos="7513"/>
          <w:tab w:val="left" w:pos="7797"/>
        </w:tabs>
        <w:spacing w:line="360" w:lineRule="auto"/>
        <w:ind w:right="640"/>
        <w:jc w:val="right"/>
        <w:rPr>
          <w:rFonts w:ascii="Times New Roman"/>
        </w:rPr>
      </w:pPr>
      <w:r>
        <w:rPr>
          <w:rFonts w:hint="eastAsia" w:ascii="Times New Roman" w:hAnsi="Times New Roman"/>
        </w:rPr>
        <w:t xml:space="preserve">                              </w:t>
      </w:r>
      <w:r>
        <w:rPr>
          <w:rFonts w:ascii="Times New Roman" w:hAnsi="Times New Roman"/>
        </w:rPr>
        <w:t>202</w:t>
      </w:r>
      <w:r>
        <w:rPr>
          <w:rFonts w:hint="eastAsia" w:ascii="Times New Roman" w:hAnsi="Times New Roman"/>
          <w:lang w:val="en-US" w:eastAsia="zh-CN"/>
        </w:rPr>
        <w:t>6</w:t>
      </w:r>
      <w:r>
        <w:rPr>
          <w:rFonts w:ascii="Times New Roman"/>
        </w:rPr>
        <w:t>年</w:t>
      </w:r>
      <w:r>
        <w:rPr>
          <w:rFonts w:hint="eastAsia" w:ascii="Times New Roman"/>
          <w:lang w:val="en-US" w:eastAsia="zh-CN"/>
        </w:rPr>
        <w:t>3</w:t>
      </w:r>
      <w:r>
        <w:rPr>
          <w:rFonts w:ascii="Times New Roman"/>
        </w:rPr>
        <w:t>月</w:t>
      </w:r>
      <w:r>
        <w:rPr>
          <w:rFonts w:hint="eastAsia" w:ascii="Times New Roman"/>
          <w:lang w:val="en-US" w:eastAsia="zh-CN"/>
        </w:rPr>
        <w:t>2</w:t>
      </w:r>
      <w:r>
        <w:rPr>
          <w:rFonts w:ascii="Times New Roman"/>
        </w:rPr>
        <w:t>日</w:t>
      </w:r>
    </w:p>
    <w:p w14:paraId="7B74BB43">
      <w:pPr>
        <w:spacing w:line="360" w:lineRule="auto"/>
        <w:jc w:val="right"/>
        <w:rPr>
          <w:rFonts w:ascii="Times New Roman"/>
        </w:rPr>
      </w:pPr>
    </w:p>
    <w:p w14:paraId="0F457910">
      <w:pPr>
        <w:spacing w:line="560" w:lineRule="exact"/>
        <w:jc w:val="left"/>
        <w:rPr>
          <w:rFonts w:ascii="Times New Roman" w:hAnsi="Times New Roman" w:cs="Times New Roman"/>
          <w:szCs w:val="32"/>
          <w:u w:val="single"/>
        </w:rPr>
      </w:pPr>
    </w:p>
    <w:p w14:paraId="18E5BEBC">
      <w:pPr>
        <w:spacing w:line="560" w:lineRule="exact"/>
        <w:jc w:val="left"/>
        <w:rPr>
          <w:rFonts w:ascii="Times New Roman" w:hAnsi="Times New Roman" w:cs="Times New Roman"/>
          <w:szCs w:val="32"/>
          <w:u w:val="single"/>
        </w:rPr>
      </w:pPr>
    </w:p>
    <w:p w14:paraId="7FD7E7B9">
      <w:pPr>
        <w:spacing w:line="560" w:lineRule="exact"/>
        <w:jc w:val="left"/>
        <w:rPr>
          <w:rFonts w:ascii="Times New Roman" w:hAnsi="Times New Roman" w:cs="Times New Roman"/>
          <w:szCs w:val="32"/>
          <w:u w:val="single"/>
        </w:rPr>
      </w:pPr>
    </w:p>
    <w:p w14:paraId="785123B9">
      <w:pPr>
        <w:spacing w:line="560" w:lineRule="exact"/>
        <w:jc w:val="left"/>
        <w:rPr>
          <w:rFonts w:ascii="Times New Roman" w:hAnsi="Times New Roman" w:cs="Times New Roman"/>
          <w:szCs w:val="32"/>
          <w:u w:val="single"/>
        </w:rPr>
      </w:pPr>
      <w:r>
        <w:rPr>
          <w:rFonts w:ascii="Times New Roman" w:hAnsi="Times New Roman" w:cs="Times New Roman"/>
          <w:szCs w:val="32"/>
          <w:u w:val="single"/>
        </w:rPr>
        <w:t>抄送：城市环境管理局、</w:t>
      </w:r>
      <w:r>
        <w:rPr>
          <w:rFonts w:hint="eastAsia" w:ascii="Times New Roman" w:hAnsi="Times New Roman" w:cs="Times New Roman"/>
          <w:szCs w:val="32"/>
          <w:u w:val="single"/>
        </w:rPr>
        <w:t>天科院环境科技发展（天津）有限公司</w:t>
      </w:r>
      <w:r>
        <w:rPr>
          <w:rFonts w:ascii="Times New Roman" w:hAnsi="Times New Roman" w:cs="Times New Roman"/>
          <w:szCs w:val="32"/>
          <w:u w:val="single"/>
        </w:rPr>
        <w:t xml:space="preserve">                                     </w:t>
      </w:r>
      <w:r>
        <w:rPr>
          <w:rFonts w:hint="eastAsia" w:ascii="Times New Roman" w:hAnsi="Times New Roman" w:cs="Times New Roman"/>
          <w:szCs w:val="32"/>
          <w:u w:val="single"/>
        </w:rPr>
        <w:t xml:space="preserve">    </w:t>
      </w:r>
      <w:r>
        <w:rPr>
          <w:rFonts w:ascii="Times New Roman" w:hAnsi="Times New Roman" w:cs="Times New Roman"/>
          <w:szCs w:val="32"/>
          <w:u w:val="single"/>
        </w:rPr>
        <w:t xml:space="preserve">             </w:t>
      </w:r>
    </w:p>
    <w:p w14:paraId="3118073D">
      <w:pPr>
        <w:spacing w:line="560" w:lineRule="exact"/>
        <w:rPr>
          <w:rFonts w:hint="eastAsia" w:ascii="仿宋_GB2312" w:hAnsi="仿宋_GB2312" w:cs="仿宋_GB2312"/>
          <w:szCs w:val="32"/>
        </w:rPr>
      </w:pPr>
      <w:r>
        <w:rPr>
          <w:rFonts w:ascii="Times New Roman" w:hAnsi="Times New Roman" w:cs="Times New Roman"/>
          <w:szCs w:val="32"/>
          <w:u w:val="single"/>
        </w:rPr>
        <w:t>天津港保税区行政审批局                202</w:t>
      </w:r>
      <w:r>
        <w:rPr>
          <w:rFonts w:hint="eastAsia" w:ascii="Times New Roman" w:hAnsi="Times New Roman" w:cs="Times New Roman"/>
          <w:szCs w:val="32"/>
          <w:u w:val="single"/>
          <w:lang w:val="en-US" w:eastAsia="zh-CN"/>
        </w:rPr>
        <w:t>6</w:t>
      </w:r>
      <w:r>
        <w:rPr>
          <w:rFonts w:ascii="Times New Roman" w:hAnsi="Times New Roman" w:cs="Times New Roman"/>
          <w:szCs w:val="32"/>
          <w:u w:val="single"/>
        </w:rPr>
        <w:t>年</w:t>
      </w:r>
      <w:r>
        <w:rPr>
          <w:rFonts w:hint="eastAsia" w:ascii="Times New Roman" w:hAnsi="Times New Roman" w:cs="Times New Roman"/>
          <w:szCs w:val="32"/>
          <w:u w:val="single"/>
          <w:lang w:val="en-US" w:eastAsia="zh-CN"/>
        </w:rPr>
        <w:t>3</w:t>
      </w:r>
      <w:r>
        <w:rPr>
          <w:rFonts w:ascii="Times New Roman" w:hAnsi="Times New Roman" w:cs="Times New Roman"/>
          <w:szCs w:val="32"/>
          <w:u w:val="single"/>
        </w:rPr>
        <w:t>月</w:t>
      </w:r>
      <w:r>
        <w:rPr>
          <w:rFonts w:hint="eastAsia" w:ascii="Times New Roman" w:hAnsi="Times New Roman" w:cs="Times New Roman"/>
          <w:szCs w:val="32"/>
          <w:u w:val="single"/>
          <w:lang w:val="en-US" w:eastAsia="zh-CN"/>
        </w:rPr>
        <w:t>2</w:t>
      </w:r>
      <w:r>
        <w:rPr>
          <w:rFonts w:ascii="Times New Roman" w:hAnsi="Times New Roman" w:cs="Times New Roman"/>
          <w:szCs w:val="32"/>
          <w:u w:val="single"/>
        </w:rPr>
        <w:t xml:space="preserve">日印 </w:t>
      </w:r>
    </w:p>
    <w:p w14:paraId="7DE00F89"/>
    <w:sectPr>
      <w:headerReference r:id="rId3" w:type="default"/>
      <w:footerReference r:id="rId4" w:type="default"/>
      <w:pgSz w:w="11906" w:h="16838"/>
      <w:pgMar w:top="1440" w:right="1440"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49765"/>
    </w:sdtPr>
    <w:sdtContent>
      <w:p w14:paraId="73F76342">
        <w:pPr>
          <w:pStyle w:val="8"/>
          <w:jc w:val="center"/>
        </w:pPr>
        <w:r>
          <w:fldChar w:fldCharType="begin"/>
        </w:r>
        <w:r>
          <w:instrText xml:space="preserve"> PAGE   \* MERGEFORMAT </w:instrText>
        </w:r>
        <w:r>
          <w:fldChar w:fldCharType="separate"/>
        </w:r>
        <w:r>
          <w:rPr>
            <w:lang w:val="zh-CN"/>
          </w:rPr>
          <w:t>3</w:t>
        </w:r>
        <w:r>
          <w:rPr>
            <w:lang w:val="zh-CN"/>
          </w:rPr>
          <w:fldChar w:fldCharType="end"/>
        </w:r>
      </w:p>
    </w:sdtContent>
  </w:sdt>
  <w:p w14:paraId="33D9F632">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C2691">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B9D"/>
    <w:rsid w:val="000000ED"/>
    <w:rsid w:val="00000CDF"/>
    <w:rsid w:val="00002A0A"/>
    <w:rsid w:val="00002C12"/>
    <w:rsid w:val="000077E5"/>
    <w:rsid w:val="00017063"/>
    <w:rsid w:val="00017EFA"/>
    <w:rsid w:val="00021047"/>
    <w:rsid w:val="00024412"/>
    <w:rsid w:val="00024787"/>
    <w:rsid w:val="00032953"/>
    <w:rsid w:val="0003541A"/>
    <w:rsid w:val="000400BB"/>
    <w:rsid w:val="00040AD7"/>
    <w:rsid w:val="00047C18"/>
    <w:rsid w:val="000548CC"/>
    <w:rsid w:val="00056885"/>
    <w:rsid w:val="00062FED"/>
    <w:rsid w:val="00063BE2"/>
    <w:rsid w:val="00064CC1"/>
    <w:rsid w:val="00067FD5"/>
    <w:rsid w:val="00077ADA"/>
    <w:rsid w:val="00077B4E"/>
    <w:rsid w:val="00080A98"/>
    <w:rsid w:val="000834E6"/>
    <w:rsid w:val="00085EF5"/>
    <w:rsid w:val="0008666F"/>
    <w:rsid w:val="000931B0"/>
    <w:rsid w:val="000931CA"/>
    <w:rsid w:val="0009352D"/>
    <w:rsid w:val="00093F69"/>
    <w:rsid w:val="00094FD7"/>
    <w:rsid w:val="00096062"/>
    <w:rsid w:val="00097DA8"/>
    <w:rsid w:val="000A0A7C"/>
    <w:rsid w:val="000C2100"/>
    <w:rsid w:val="000D1DDA"/>
    <w:rsid w:val="000D45D0"/>
    <w:rsid w:val="000E069B"/>
    <w:rsid w:val="000E1CBE"/>
    <w:rsid w:val="000E209C"/>
    <w:rsid w:val="000F7EEF"/>
    <w:rsid w:val="0011736F"/>
    <w:rsid w:val="0012627B"/>
    <w:rsid w:val="00127AE7"/>
    <w:rsid w:val="00131E9C"/>
    <w:rsid w:val="00150F35"/>
    <w:rsid w:val="00151F7B"/>
    <w:rsid w:val="00155A9A"/>
    <w:rsid w:val="001602A8"/>
    <w:rsid w:val="001663F8"/>
    <w:rsid w:val="001708D6"/>
    <w:rsid w:val="0018293C"/>
    <w:rsid w:val="00183379"/>
    <w:rsid w:val="0019193B"/>
    <w:rsid w:val="00195540"/>
    <w:rsid w:val="001A21BB"/>
    <w:rsid w:val="001B066E"/>
    <w:rsid w:val="001C0D5B"/>
    <w:rsid w:val="001C5897"/>
    <w:rsid w:val="001C71C4"/>
    <w:rsid w:val="001D403C"/>
    <w:rsid w:val="001D55C1"/>
    <w:rsid w:val="001E44A6"/>
    <w:rsid w:val="001F3EDC"/>
    <w:rsid w:val="002014D5"/>
    <w:rsid w:val="00203B29"/>
    <w:rsid w:val="00210B83"/>
    <w:rsid w:val="00210E1E"/>
    <w:rsid w:val="002225C4"/>
    <w:rsid w:val="002336F1"/>
    <w:rsid w:val="00242AF1"/>
    <w:rsid w:val="0024430E"/>
    <w:rsid w:val="0024456C"/>
    <w:rsid w:val="0024608A"/>
    <w:rsid w:val="002462D6"/>
    <w:rsid w:val="00257406"/>
    <w:rsid w:val="00261B2D"/>
    <w:rsid w:val="00264D72"/>
    <w:rsid w:val="0027460C"/>
    <w:rsid w:val="00275DD8"/>
    <w:rsid w:val="00282601"/>
    <w:rsid w:val="0028401F"/>
    <w:rsid w:val="002858A4"/>
    <w:rsid w:val="002A2E15"/>
    <w:rsid w:val="002A61D2"/>
    <w:rsid w:val="002B2446"/>
    <w:rsid w:val="002B607C"/>
    <w:rsid w:val="002B7DD3"/>
    <w:rsid w:val="002C15B6"/>
    <w:rsid w:val="002D399F"/>
    <w:rsid w:val="002D4DA6"/>
    <w:rsid w:val="002D7082"/>
    <w:rsid w:val="002D7B03"/>
    <w:rsid w:val="002E692F"/>
    <w:rsid w:val="00310B46"/>
    <w:rsid w:val="00310D90"/>
    <w:rsid w:val="00325C11"/>
    <w:rsid w:val="00326071"/>
    <w:rsid w:val="003276C0"/>
    <w:rsid w:val="00330A22"/>
    <w:rsid w:val="00336F06"/>
    <w:rsid w:val="00344556"/>
    <w:rsid w:val="00346E41"/>
    <w:rsid w:val="00350DE3"/>
    <w:rsid w:val="00351A82"/>
    <w:rsid w:val="003631B1"/>
    <w:rsid w:val="00367886"/>
    <w:rsid w:val="00371D93"/>
    <w:rsid w:val="00371F2C"/>
    <w:rsid w:val="0037351B"/>
    <w:rsid w:val="00373B1A"/>
    <w:rsid w:val="00374E8D"/>
    <w:rsid w:val="00380065"/>
    <w:rsid w:val="0039472D"/>
    <w:rsid w:val="00395C48"/>
    <w:rsid w:val="003A0AF9"/>
    <w:rsid w:val="003A397F"/>
    <w:rsid w:val="003A3EBD"/>
    <w:rsid w:val="003C657C"/>
    <w:rsid w:val="003D7B4C"/>
    <w:rsid w:val="003E18B7"/>
    <w:rsid w:val="003E29CF"/>
    <w:rsid w:val="003F04B9"/>
    <w:rsid w:val="0040020E"/>
    <w:rsid w:val="00404088"/>
    <w:rsid w:val="0041139B"/>
    <w:rsid w:val="004206D8"/>
    <w:rsid w:val="00421E27"/>
    <w:rsid w:val="0042398D"/>
    <w:rsid w:val="00427887"/>
    <w:rsid w:val="00431B4A"/>
    <w:rsid w:val="0043662D"/>
    <w:rsid w:val="0045029D"/>
    <w:rsid w:val="004614CE"/>
    <w:rsid w:val="004646FB"/>
    <w:rsid w:val="004703E9"/>
    <w:rsid w:val="00471DD2"/>
    <w:rsid w:val="00475631"/>
    <w:rsid w:val="00482733"/>
    <w:rsid w:val="004831E2"/>
    <w:rsid w:val="00485E50"/>
    <w:rsid w:val="00495B78"/>
    <w:rsid w:val="004969DE"/>
    <w:rsid w:val="004A4F11"/>
    <w:rsid w:val="004A5E5A"/>
    <w:rsid w:val="004A5F7D"/>
    <w:rsid w:val="004B1790"/>
    <w:rsid w:val="004B1B4C"/>
    <w:rsid w:val="004B1D77"/>
    <w:rsid w:val="004B344A"/>
    <w:rsid w:val="004B6554"/>
    <w:rsid w:val="004B6CF6"/>
    <w:rsid w:val="004C3DA0"/>
    <w:rsid w:val="004C45DF"/>
    <w:rsid w:val="004C5D6A"/>
    <w:rsid w:val="004E63D4"/>
    <w:rsid w:val="004F193A"/>
    <w:rsid w:val="004F1A8C"/>
    <w:rsid w:val="004F5D03"/>
    <w:rsid w:val="004F6BF9"/>
    <w:rsid w:val="005128CD"/>
    <w:rsid w:val="00514D56"/>
    <w:rsid w:val="00520063"/>
    <w:rsid w:val="00524D55"/>
    <w:rsid w:val="00527202"/>
    <w:rsid w:val="00535942"/>
    <w:rsid w:val="005413E6"/>
    <w:rsid w:val="00542C61"/>
    <w:rsid w:val="005537B6"/>
    <w:rsid w:val="005763CA"/>
    <w:rsid w:val="00577495"/>
    <w:rsid w:val="00585DE1"/>
    <w:rsid w:val="00585EB7"/>
    <w:rsid w:val="005860F7"/>
    <w:rsid w:val="00597D45"/>
    <w:rsid w:val="005A2320"/>
    <w:rsid w:val="005A39AF"/>
    <w:rsid w:val="005A3B98"/>
    <w:rsid w:val="005A58A9"/>
    <w:rsid w:val="005A6D2D"/>
    <w:rsid w:val="005B1982"/>
    <w:rsid w:val="005B2AAF"/>
    <w:rsid w:val="005C302C"/>
    <w:rsid w:val="005C7246"/>
    <w:rsid w:val="005E1F3E"/>
    <w:rsid w:val="005E26E7"/>
    <w:rsid w:val="005E2FEA"/>
    <w:rsid w:val="005E4B9D"/>
    <w:rsid w:val="005F1ECA"/>
    <w:rsid w:val="005F2674"/>
    <w:rsid w:val="005F4F6F"/>
    <w:rsid w:val="00611936"/>
    <w:rsid w:val="00613E5D"/>
    <w:rsid w:val="00635419"/>
    <w:rsid w:val="00635EA9"/>
    <w:rsid w:val="00637D80"/>
    <w:rsid w:val="00641676"/>
    <w:rsid w:val="00641E4D"/>
    <w:rsid w:val="00644BE7"/>
    <w:rsid w:val="00645767"/>
    <w:rsid w:val="0065312E"/>
    <w:rsid w:val="00660EAC"/>
    <w:rsid w:val="006617DA"/>
    <w:rsid w:val="006618CE"/>
    <w:rsid w:val="006643DB"/>
    <w:rsid w:val="00672AB5"/>
    <w:rsid w:val="006814DD"/>
    <w:rsid w:val="00687F41"/>
    <w:rsid w:val="0069481E"/>
    <w:rsid w:val="006952E6"/>
    <w:rsid w:val="006A3C27"/>
    <w:rsid w:val="006A3CA1"/>
    <w:rsid w:val="006B0572"/>
    <w:rsid w:val="006C5EDA"/>
    <w:rsid w:val="006C666D"/>
    <w:rsid w:val="006C6966"/>
    <w:rsid w:val="006C7509"/>
    <w:rsid w:val="006D0535"/>
    <w:rsid w:val="006D25A0"/>
    <w:rsid w:val="006E089C"/>
    <w:rsid w:val="006E29BD"/>
    <w:rsid w:val="006E50EA"/>
    <w:rsid w:val="006E7736"/>
    <w:rsid w:val="0070112D"/>
    <w:rsid w:val="0070500B"/>
    <w:rsid w:val="007136AA"/>
    <w:rsid w:val="00715F3D"/>
    <w:rsid w:val="00724F8C"/>
    <w:rsid w:val="0073526A"/>
    <w:rsid w:val="00736F05"/>
    <w:rsid w:val="00745C96"/>
    <w:rsid w:val="00746019"/>
    <w:rsid w:val="00746C49"/>
    <w:rsid w:val="00764376"/>
    <w:rsid w:val="0077289E"/>
    <w:rsid w:val="007770C6"/>
    <w:rsid w:val="00783770"/>
    <w:rsid w:val="007838F6"/>
    <w:rsid w:val="00784BFC"/>
    <w:rsid w:val="00785125"/>
    <w:rsid w:val="007878B2"/>
    <w:rsid w:val="007937C9"/>
    <w:rsid w:val="007A22B2"/>
    <w:rsid w:val="007A42BF"/>
    <w:rsid w:val="007A62CF"/>
    <w:rsid w:val="007A70F9"/>
    <w:rsid w:val="007B600E"/>
    <w:rsid w:val="007C49A0"/>
    <w:rsid w:val="007C5CCE"/>
    <w:rsid w:val="007E0239"/>
    <w:rsid w:val="007F3A11"/>
    <w:rsid w:val="007F3C94"/>
    <w:rsid w:val="007F45F1"/>
    <w:rsid w:val="007F7F4B"/>
    <w:rsid w:val="00800908"/>
    <w:rsid w:val="0082033A"/>
    <w:rsid w:val="00836613"/>
    <w:rsid w:val="00854762"/>
    <w:rsid w:val="008773DC"/>
    <w:rsid w:val="0088082E"/>
    <w:rsid w:val="00880ACF"/>
    <w:rsid w:val="00885FE3"/>
    <w:rsid w:val="00886EB4"/>
    <w:rsid w:val="00890A95"/>
    <w:rsid w:val="0089128F"/>
    <w:rsid w:val="008B3585"/>
    <w:rsid w:val="008B64A3"/>
    <w:rsid w:val="008B7F60"/>
    <w:rsid w:val="008E337A"/>
    <w:rsid w:val="008E666A"/>
    <w:rsid w:val="008E7A7C"/>
    <w:rsid w:val="008F2C43"/>
    <w:rsid w:val="00900D4B"/>
    <w:rsid w:val="00905F97"/>
    <w:rsid w:val="00914185"/>
    <w:rsid w:val="00915B0E"/>
    <w:rsid w:val="009329D7"/>
    <w:rsid w:val="00932A5B"/>
    <w:rsid w:val="0093523F"/>
    <w:rsid w:val="009405B8"/>
    <w:rsid w:val="00943995"/>
    <w:rsid w:val="00944B9B"/>
    <w:rsid w:val="0095073B"/>
    <w:rsid w:val="00951076"/>
    <w:rsid w:val="00960614"/>
    <w:rsid w:val="00962EEA"/>
    <w:rsid w:val="00971CA7"/>
    <w:rsid w:val="00975A90"/>
    <w:rsid w:val="00983896"/>
    <w:rsid w:val="00987274"/>
    <w:rsid w:val="00992890"/>
    <w:rsid w:val="009A01DB"/>
    <w:rsid w:val="009A26A1"/>
    <w:rsid w:val="009A38D1"/>
    <w:rsid w:val="009A6638"/>
    <w:rsid w:val="009B3B1A"/>
    <w:rsid w:val="009B694E"/>
    <w:rsid w:val="009B6E24"/>
    <w:rsid w:val="009C1AD6"/>
    <w:rsid w:val="009C2978"/>
    <w:rsid w:val="009D0145"/>
    <w:rsid w:val="009D240B"/>
    <w:rsid w:val="009D2836"/>
    <w:rsid w:val="009D5CD3"/>
    <w:rsid w:val="009E34EE"/>
    <w:rsid w:val="00A1098A"/>
    <w:rsid w:val="00A144E3"/>
    <w:rsid w:val="00A17D40"/>
    <w:rsid w:val="00A21502"/>
    <w:rsid w:val="00A270E7"/>
    <w:rsid w:val="00A27792"/>
    <w:rsid w:val="00A35072"/>
    <w:rsid w:val="00A373B9"/>
    <w:rsid w:val="00A46A05"/>
    <w:rsid w:val="00A47243"/>
    <w:rsid w:val="00A477A7"/>
    <w:rsid w:val="00A51802"/>
    <w:rsid w:val="00A55709"/>
    <w:rsid w:val="00A5585F"/>
    <w:rsid w:val="00A6581B"/>
    <w:rsid w:val="00A66C37"/>
    <w:rsid w:val="00A758FF"/>
    <w:rsid w:val="00A801C3"/>
    <w:rsid w:val="00A820B7"/>
    <w:rsid w:val="00A87B5F"/>
    <w:rsid w:val="00A952D5"/>
    <w:rsid w:val="00AA23AE"/>
    <w:rsid w:val="00AA52FC"/>
    <w:rsid w:val="00AB0337"/>
    <w:rsid w:val="00AB1BC3"/>
    <w:rsid w:val="00AB5754"/>
    <w:rsid w:val="00AC54A2"/>
    <w:rsid w:val="00AC6A51"/>
    <w:rsid w:val="00AD4B10"/>
    <w:rsid w:val="00AD5519"/>
    <w:rsid w:val="00AE2071"/>
    <w:rsid w:val="00AE21FC"/>
    <w:rsid w:val="00AE2FBB"/>
    <w:rsid w:val="00AE3626"/>
    <w:rsid w:val="00AE466E"/>
    <w:rsid w:val="00AE51DF"/>
    <w:rsid w:val="00AF1EA3"/>
    <w:rsid w:val="00AF6F47"/>
    <w:rsid w:val="00B01A96"/>
    <w:rsid w:val="00B01DED"/>
    <w:rsid w:val="00B02152"/>
    <w:rsid w:val="00B067C2"/>
    <w:rsid w:val="00B13FB6"/>
    <w:rsid w:val="00B31641"/>
    <w:rsid w:val="00B37379"/>
    <w:rsid w:val="00B56AAE"/>
    <w:rsid w:val="00B57588"/>
    <w:rsid w:val="00B624CD"/>
    <w:rsid w:val="00B673ED"/>
    <w:rsid w:val="00B70DC0"/>
    <w:rsid w:val="00B739DA"/>
    <w:rsid w:val="00B75182"/>
    <w:rsid w:val="00B7639D"/>
    <w:rsid w:val="00B772F7"/>
    <w:rsid w:val="00B84011"/>
    <w:rsid w:val="00B95712"/>
    <w:rsid w:val="00BA02E4"/>
    <w:rsid w:val="00BA02ED"/>
    <w:rsid w:val="00BA2C98"/>
    <w:rsid w:val="00BA4718"/>
    <w:rsid w:val="00BC25B7"/>
    <w:rsid w:val="00BC3FF8"/>
    <w:rsid w:val="00BD4A63"/>
    <w:rsid w:val="00BE2F61"/>
    <w:rsid w:val="00BE38C8"/>
    <w:rsid w:val="00BE56E3"/>
    <w:rsid w:val="00BE5984"/>
    <w:rsid w:val="00BF5079"/>
    <w:rsid w:val="00BF5F55"/>
    <w:rsid w:val="00BF708D"/>
    <w:rsid w:val="00BF77C8"/>
    <w:rsid w:val="00C0095E"/>
    <w:rsid w:val="00C04DD9"/>
    <w:rsid w:val="00C05EAA"/>
    <w:rsid w:val="00C108AE"/>
    <w:rsid w:val="00C23FF7"/>
    <w:rsid w:val="00C2482D"/>
    <w:rsid w:val="00C24A81"/>
    <w:rsid w:val="00C24C19"/>
    <w:rsid w:val="00C26759"/>
    <w:rsid w:val="00C3090B"/>
    <w:rsid w:val="00C3660F"/>
    <w:rsid w:val="00C40522"/>
    <w:rsid w:val="00C41EF9"/>
    <w:rsid w:val="00C5235E"/>
    <w:rsid w:val="00C65715"/>
    <w:rsid w:val="00C71D07"/>
    <w:rsid w:val="00C74B54"/>
    <w:rsid w:val="00C76135"/>
    <w:rsid w:val="00C76B70"/>
    <w:rsid w:val="00C8613B"/>
    <w:rsid w:val="00C870A1"/>
    <w:rsid w:val="00C93BD6"/>
    <w:rsid w:val="00CA32B3"/>
    <w:rsid w:val="00CA3FE5"/>
    <w:rsid w:val="00CB3B56"/>
    <w:rsid w:val="00CB445D"/>
    <w:rsid w:val="00CB5796"/>
    <w:rsid w:val="00CB5CD5"/>
    <w:rsid w:val="00CD60AB"/>
    <w:rsid w:val="00CE3A5A"/>
    <w:rsid w:val="00CE50C2"/>
    <w:rsid w:val="00CE727D"/>
    <w:rsid w:val="00D04168"/>
    <w:rsid w:val="00D05CEE"/>
    <w:rsid w:val="00D07579"/>
    <w:rsid w:val="00D2190F"/>
    <w:rsid w:val="00D23537"/>
    <w:rsid w:val="00D43EFC"/>
    <w:rsid w:val="00D5178D"/>
    <w:rsid w:val="00D52B0E"/>
    <w:rsid w:val="00D557A4"/>
    <w:rsid w:val="00D56CEF"/>
    <w:rsid w:val="00D60F28"/>
    <w:rsid w:val="00D64BF7"/>
    <w:rsid w:val="00D74BAE"/>
    <w:rsid w:val="00D85F5E"/>
    <w:rsid w:val="00D94456"/>
    <w:rsid w:val="00D949FB"/>
    <w:rsid w:val="00D950F8"/>
    <w:rsid w:val="00D97348"/>
    <w:rsid w:val="00DA353D"/>
    <w:rsid w:val="00DB1C01"/>
    <w:rsid w:val="00DB2695"/>
    <w:rsid w:val="00DC203A"/>
    <w:rsid w:val="00DC4A11"/>
    <w:rsid w:val="00DD25A3"/>
    <w:rsid w:val="00DE780B"/>
    <w:rsid w:val="00DF37C0"/>
    <w:rsid w:val="00DF3855"/>
    <w:rsid w:val="00DF4F33"/>
    <w:rsid w:val="00E14527"/>
    <w:rsid w:val="00E163F4"/>
    <w:rsid w:val="00E22F90"/>
    <w:rsid w:val="00E2523D"/>
    <w:rsid w:val="00E27B84"/>
    <w:rsid w:val="00E312EA"/>
    <w:rsid w:val="00E45940"/>
    <w:rsid w:val="00E46CAF"/>
    <w:rsid w:val="00E504D9"/>
    <w:rsid w:val="00E574A1"/>
    <w:rsid w:val="00E61662"/>
    <w:rsid w:val="00E63B55"/>
    <w:rsid w:val="00E73A6B"/>
    <w:rsid w:val="00E765CB"/>
    <w:rsid w:val="00E76CAF"/>
    <w:rsid w:val="00E821A2"/>
    <w:rsid w:val="00E95586"/>
    <w:rsid w:val="00EA018F"/>
    <w:rsid w:val="00EA0C0A"/>
    <w:rsid w:val="00EA62B3"/>
    <w:rsid w:val="00EA7883"/>
    <w:rsid w:val="00EA7F5E"/>
    <w:rsid w:val="00EB646C"/>
    <w:rsid w:val="00EB7498"/>
    <w:rsid w:val="00EC11B2"/>
    <w:rsid w:val="00EC51BA"/>
    <w:rsid w:val="00ED79C2"/>
    <w:rsid w:val="00EE1F06"/>
    <w:rsid w:val="00EE23A3"/>
    <w:rsid w:val="00EF4697"/>
    <w:rsid w:val="00F142DC"/>
    <w:rsid w:val="00F35AD7"/>
    <w:rsid w:val="00F4088D"/>
    <w:rsid w:val="00F4196E"/>
    <w:rsid w:val="00F44931"/>
    <w:rsid w:val="00F51346"/>
    <w:rsid w:val="00F53E4B"/>
    <w:rsid w:val="00F62653"/>
    <w:rsid w:val="00F74308"/>
    <w:rsid w:val="00F97115"/>
    <w:rsid w:val="00FA484A"/>
    <w:rsid w:val="00FA5273"/>
    <w:rsid w:val="00FC327F"/>
    <w:rsid w:val="00FD223C"/>
    <w:rsid w:val="00FE7956"/>
    <w:rsid w:val="00FF2EEF"/>
    <w:rsid w:val="00FF61EA"/>
    <w:rsid w:val="01740FA6"/>
    <w:rsid w:val="026223A4"/>
    <w:rsid w:val="03277AEE"/>
    <w:rsid w:val="04794817"/>
    <w:rsid w:val="049F51EA"/>
    <w:rsid w:val="09BF05F1"/>
    <w:rsid w:val="0E1F62DD"/>
    <w:rsid w:val="0EBF5D6C"/>
    <w:rsid w:val="10C40B26"/>
    <w:rsid w:val="11860AFB"/>
    <w:rsid w:val="14645659"/>
    <w:rsid w:val="15906A89"/>
    <w:rsid w:val="16F660CB"/>
    <w:rsid w:val="17C66775"/>
    <w:rsid w:val="18770142"/>
    <w:rsid w:val="19A02B60"/>
    <w:rsid w:val="1B067D19"/>
    <w:rsid w:val="1F371F44"/>
    <w:rsid w:val="20BD4F1E"/>
    <w:rsid w:val="21FA61F2"/>
    <w:rsid w:val="22503B80"/>
    <w:rsid w:val="249C309C"/>
    <w:rsid w:val="26240F37"/>
    <w:rsid w:val="298F17BF"/>
    <w:rsid w:val="2BE42BD3"/>
    <w:rsid w:val="2CA67E37"/>
    <w:rsid w:val="309E32C9"/>
    <w:rsid w:val="30F607F1"/>
    <w:rsid w:val="317136CD"/>
    <w:rsid w:val="31AC24EA"/>
    <w:rsid w:val="366337ED"/>
    <w:rsid w:val="3E0A124F"/>
    <w:rsid w:val="40073D7D"/>
    <w:rsid w:val="42942102"/>
    <w:rsid w:val="43727992"/>
    <w:rsid w:val="45933C72"/>
    <w:rsid w:val="472C15E5"/>
    <w:rsid w:val="4B4345C1"/>
    <w:rsid w:val="4C3B6976"/>
    <w:rsid w:val="4F5B2940"/>
    <w:rsid w:val="51DC2670"/>
    <w:rsid w:val="548B2661"/>
    <w:rsid w:val="54C27A80"/>
    <w:rsid w:val="555761E8"/>
    <w:rsid w:val="57904998"/>
    <w:rsid w:val="5C690FBE"/>
    <w:rsid w:val="5CED210B"/>
    <w:rsid w:val="5FCA5CA8"/>
    <w:rsid w:val="61593D0C"/>
    <w:rsid w:val="623B37C7"/>
    <w:rsid w:val="625247BE"/>
    <w:rsid w:val="63D53BEC"/>
    <w:rsid w:val="67DB7004"/>
    <w:rsid w:val="68EB2C3F"/>
    <w:rsid w:val="68EC03E8"/>
    <w:rsid w:val="6A871992"/>
    <w:rsid w:val="6CAC6DB4"/>
    <w:rsid w:val="6D53268A"/>
    <w:rsid w:val="6E5B3674"/>
    <w:rsid w:val="6F0736D9"/>
    <w:rsid w:val="73AF76A0"/>
    <w:rsid w:val="753C7334"/>
    <w:rsid w:val="76817CF6"/>
    <w:rsid w:val="7B7F61CD"/>
    <w:rsid w:val="7F4738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3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15"/>
    <w:qFormat/>
    <w:uiPriority w:val="0"/>
    <w:pPr>
      <w:ind w:firstLine="420" w:firstLineChars="200"/>
    </w:pPr>
  </w:style>
  <w:style w:type="paragraph" w:styleId="3">
    <w:name w:val="annotation text"/>
    <w:basedOn w:val="1"/>
    <w:link w:val="18"/>
    <w:qFormat/>
    <w:uiPriority w:val="0"/>
    <w:pPr>
      <w:jc w:val="left"/>
    </w:pPr>
  </w:style>
  <w:style w:type="paragraph" w:styleId="4">
    <w:name w:val="Body Text Indent"/>
    <w:basedOn w:val="1"/>
    <w:qFormat/>
    <w:uiPriority w:val="0"/>
    <w:pPr>
      <w:ind w:firstLine="600"/>
    </w:pPr>
    <w:rPr>
      <w:rFonts w:ascii="仿宋_GB2312"/>
      <w:sz w:val="30"/>
    </w:rPr>
  </w:style>
  <w:style w:type="paragraph" w:styleId="5">
    <w:name w:val="Block Text"/>
    <w:basedOn w:val="1"/>
    <w:next w:val="1"/>
    <w:qFormat/>
    <w:uiPriority w:val="0"/>
    <w:pPr>
      <w:spacing w:line="360" w:lineRule="auto"/>
    </w:pPr>
    <w:rPr>
      <w:kern w:val="0"/>
      <w:sz w:val="24"/>
      <w:szCs w:val="22"/>
    </w:rPr>
  </w:style>
  <w:style w:type="paragraph" w:styleId="6">
    <w:name w:val="Date"/>
    <w:basedOn w:val="1"/>
    <w:next w:val="1"/>
    <w:link w:val="16"/>
    <w:qFormat/>
    <w:uiPriority w:val="0"/>
    <w:pPr>
      <w:ind w:left="100" w:leftChars="2500"/>
    </w:pPr>
  </w:style>
  <w:style w:type="paragraph" w:styleId="7">
    <w:name w:val="Balloon Text"/>
    <w:basedOn w:val="1"/>
    <w:link w:val="17"/>
    <w:qFormat/>
    <w:uiPriority w:val="0"/>
    <w:rPr>
      <w:sz w:val="18"/>
      <w:szCs w:val="18"/>
    </w:rPr>
  </w:style>
  <w:style w:type="paragraph" w:styleId="8">
    <w:name w:val="footer"/>
    <w:basedOn w:val="1"/>
    <w:link w:val="12"/>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12">
    <w:name w:val="页脚 Char"/>
    <w:basedOn w:val="11"/>
    <w:link w:val="8"/>
    <w:qFormat/>
    <w:uiPriority w:val="99"/>
    <w:rPr>
      <w:rFonts w:eastAsia="仿宋_GB2312"/>
      <w:kern w:val="2"/>
      <w:sz w:val="18"/>
      <w:szCs w:val="18"/>
    </w:rPr>
  </w:style>
  <w:style w:type="paragraph" w:customStyle="1" w:styleId="13">
    <w:name w:val="中文报告书样式"/>
    <w:basedOn w:val="1"/>
    <w:link w:val="14"/>
    <w:qFormat/>
    <w:uiPriority w:val="0"/>
    <w:pPr>
      <w:adjustRightInd w:val="0"/>
      <w:spacing w:line="420" w:lineRule="atLeast"/>
      <w:jc w:val="left"/>
      <w:textAlignment w:val="baseline"/>
    </w:pPr>
    <w:rPr>
      <w:rFonts w:ascii="Times New Roman" w:hAnsi="Times New Roman"/>
      <w:kern w:val="24"/>
      <w:sz w:val="24"/>
      <w:szCs w:val="20"/>
    </w:rPr>
  </w:style>
  <w:style w:type="character" w:customStyle="1" w:styleId="14">
    <w:name w:val="中文报告书样式 Char1"/>
    <w:basedOn w:val="11"/>
    <w:link w:val="13"/>
    <w:qFormat/>
    <w:locked/>
    <w:uiPriority w:val="0"/>
    <w:rPr>
      <w:rFonts w:ascii="Times New Roman" w:hAnsi="Times New Roman" w:eastAsia="仿宋_GB2312"/>
      <w:kern w:val="24"/>
      <w:sz w:val="24"/>
    </w:rPr>
  </w:style>
  <w:style w:type="character" w:customStyle="1" w:styleId="15">
    <w:name w:val="正文缩进 Char"/>
    <w:basedOn w:val="11"/>
    <w:link w:val="2"/>
    <w:qFormat/>
    <w:uiPriority w:val="0"/>
    <w:rPr>
      <w:rFonts w:eastAsia="仿宋_GB2312"/>
      <w:kern w:val="2"/>
      <w:sz w:val="32"/>
      <w:szCs w:val="32"/>
    </w:rPr>
  </w:style>
  <w:style w:type="character" w:customStyle="1" w:styleId="16">
    <w:name w:val="日期 Char"/>
    <w:basedOn w:val="11"/>
    <w:link w:val="6"/>
    <w:qFormat/>
    <w:uiPriority w:val="0"/>
    <w:rPr>
      <w:rFonts w:eastAsia="仿宋_GB2312"/>
      <w:kern w:val="2"/>
      <w:sz w:val="32"/>
      <w:szCs w:val="32"/>
    </w:rPr>
  </w:style>
  <w:style w:type="character" w:customStyle="1" w:styleId="17">
    <w:name w:val="批注框文本 Char"/>
    <w:basedOn w:val="11"/>
    <w:link w:val="7"/>
    <w:qFormat/>
    <w:uiPriority w:val="0"/>
    <w:rPr>
      <w:rFonts w:ascii="Calibri" w:hAnsi="Calibri" w:eastAsia="仿宋_GB2312"/>
      <w:kern w:val="2"/>
      <w:sz w:val="18"/>
      <w:szCs w:val="18"/>
    </w:rPr>
  </w:style>
  <w:style w:type="character" w:customStyle="1" w:styleId="18">
    <w:name w:val="批注文字 Char"/>
    <w:basedOn w:val="11"/>
    <w:link w:val="3"/>
    <w:qFormat/>
    <w:uiPriority w:val="0"/>
    <w:rPr>
      <w:rFonts w:ascii="Calibri" w:hAnsi="Calibri" w:eastAsia="仿宋_GB2312"/>
      <w:kern w:val="2"/>
      <w:sz w:val="32"/>
      <w:szCs w:val="32"/>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169B-12BB-4634-987D-BAE47009A6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1157</Words>
  <Characters>1290</Characters>
  <Lines>9</Lines>
  <Paragraphs>2</Paragraphs>
  <TotalTime>12</TotalTime>
  <ScaleCrop>false</ScaleCrop>
  <LinksUpToDate>false</LinksUpToDate>
  <CharactersWithSpaces>1392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2017-08-16T02:57:00Z</dcterms:created>
  <dc:creator>Administrator</dc:creator>
  <cp:lastModifiedBy> </cp:lastModifiedBy>
  <cp:lastPrinted>2025-11-06T03:27:00Z</cp:lastPrinted>
  <dcterms:modified xsi:type="dcterms:W3CDTF">2026-02-25T03:32:46Z</dcterms:modified>
  <cp:revision>200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E179ACAF99954678A1225B81BD8CAA63_13</vt:lpwstr>
  </property>
  <property fmtid="{D5CDD505-2E9C-101B-9397-08002B2CF9AE}" pid="4" name="KSOTemplateDocerSaveRecord">
    <vt:lpwstr>eyJoZGlkIjoiOGNkNzkwNDFhNTBhZTU1MmEyN2FmYTE5MDNiYjJlYTciLCJ1c2VySWQiOiI0NDcxMjM2OTUifQ==</vt:lpwstr>
  </property>
</Properties>
</file>