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3B676C">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right="0"/>
        <w:jc w:val="left"/>
        <w:textAlignment w:val="auto"/>
        <w:rPr>
          <w:rFonts w:hint="default" w:ascii="Nimbus Roman No9 L" w:hAnsi="Nimbus Roman No9 L" w:eastAsia="黑体" w:cs="黑体"/>
          <w:b w:val="0"/>
          <w:bCs w:val="0"/>
          <w:i w:val="0"/>
          <w:iCs w:val="0"/>
          <w:snapToGrid w:val="0"/>
          <w:color w:val="auto"/>
          <w:spacing w:val="0"/>
          <w:kern w:val="0"/>
          <w:sz w:val="32"/>
          <w:szCs w:val="32"/>
          <w:highlight w:val="none"/>
          <w:u w:val="none"/>
          <w:lang w:val="en-US" w:eastAsia="zh-CN" w:bidi="ar-SA"/>
        </w:rPr>
      </w:pPr>
      <w:bookmarkStart w:id="0" w:name="_GoBack"/>
      <w:bookmarkEnd w:id="0"/>
      <w:r>
        <w:rPr>
          <w:rFonts w:hint="eastAsia" w:ascii="Nimbus Roman No9 L" w:hAnsi="Nimbus Roman No9 L" w:eastAsia="黑体" w:cs="黑体"/>
          <w:i w:val="0"/>
          <w:iCs w:val="0"/>
          <w:caps w:val="0"/>
          <w:color w:val="auto"/>
          <w:spacing w:val="0"/>
          <w:sz w:val="32"/>
          <w:szCs w:val="32"/>
          <w:shd w:val="clear" w:color="auto" w:fill="FFFFFF"/>
          <w:lang w:val="en-US" w:eastAsia="zh-CN"/>
        </w:rPr>
        <w:t>附件1</w:t>
      </w:r>
    </w:p>
    <w:p w14:paraId="5338113F">
      <w:pPr>
        <w:pStyle w:val="7"/>
        <w:keepNext w:val="0"/>
        <w:keepLines w:val="0"/>
        <w:pageBreakBefore w:val="0"/>
        <w:widowControl w:val="0"/>
        <w:kinsoku/>
        <w:wordWrap/>
        <w:overflowPunct/>
        <w:topLinePunct w:val="0"/>
        <w:autoSpaceDE/>
        <w:autoSpaceDN/>
        <w:bidi w:val="0"/>
        <w:adjustRightInd/>
        <w:snapToGrid w:val="0"/>
        <w:spacing w:before="0" w:beforeAutospacing="0" w:after="0" w:afterAutospacing="0" w:line="680" w:lineRule="exact"/>
        <w:jc w:val="center"/>
        <w:textAlignment w:val="auto"/>
        <w:rPr>
          <w:rFonts w:hint="eastAsia" w:ascii="Nimbus Roman No9 L" w:hAnsi="Nimbus Roman No9 L" w:eastAsia="方正小标宋_GBK" w:cs="方正小标宋_GBK"/>
          <w:b w:val="0"/>
          <w:bCs w:val="0"/>
          <w:i w:val="0"/>
          <w:iCs w:val="0"/>
          <w:color w:val="auto"/>
          <w:spacing w:val="0"/>
          <w:sz w:val="44"/>
          <w:szCs w:val="44"/>
          <w:highlight w:val="none"/>
          <w:u w:val="none"/>
        </w:rPr>
      </w:pPr>
      <w:r>
        <w:rPr>
          <w:rFonts w:hint="eastAsia" w:ascii="Nimbus Roman No9 L" w:hAnsi="Nimbus Roman No9 L" w:eastAsia="方正小标宋_GBK" w:cs="方正小标宋_GBK"/>
          <w:b w:val="0"/>
          <w:bCs w:val="0"/>
          <w:i w:val="0"/>
          <w:iCs w:val="0"/>
          <w:snapToGrid w:val="0"/>
          <w:color w:val="auto"/>
          <w:spacing w:val="0"/>
          <w:kern w:val="0"/>
          <w:sz w:val="44"/>
          <w:szCs w:val="44"/>
          <w:highlight w:val="none"/>
          <w:u w:val="none"/>
          <w:lang w:val="en" w:eastAsia="zh-CN" w:bidi="ar-SA"/>
        </w:rPr>
        <w:t>有关</w:t>
      </w:r>
      <w:r>
        <w:rPr>
          <w:rFonts w:hint="eastAsia" w:ascii="Nimbus Roman No9 L" w:hAnsi="Nimbus Roman No9 L" w:eastAsia="方正小标宋_GBK" w:cs="方正小标宋_GBK"/>
          <w:i w:val="0"/>
          <w:caps w:val="0"/>
          <w:color w:val="auto"/>
          <w:spacing w:val="0"/>
          <w:sz w:val="44"/>
          <w:szCs w:val="44"/>
          <w:shd w:val="clear" w:color="auto" w:fill="FFFFFF"/>
          <w:lang w:val="en-US" w:eastAsia="zh-CN"/>
        </w:rPr>
        <w:t>信息及佐证材料</w:t>
      </w:r>
      <w:r>
        <w:rPr>
          <w:rFonts w:hint="eastAsia" w:ascii="Nimbus Roman No9 L" w:hAnsi="Nimbus Roman No9 L" w:eastAsia="方正小标宋_GBK" w:cs="方正小标宋_GBK"/>
          <w:b w:val="0"/>
          <w:bCs w:val="0"/>
          <w:i w:val="0"/>
          <w:iCs w:val="0"/>
          <w:snapToGrid w:val="0"/>
          <w:color w:val="auto"/>
          <w:spacing w:val="0"/>
          <w:kern w:val="0"/>
          <w:sz w:val="44"/>
          <w:szCs w:val="44"/>
          <w:highlight w:val="none"/>
          <w:u w:val="none"/>
          <w:lang w:val="en-US" w:eastAsia="zh-CN" w:bidi="ar-SA"/>
        </w:rPr>
        <w:t>的说明</w:t>
      </w:r>
    </w:p>
    <w:p w14:paraId="1DAC58F2">
      <w:pPr>
        <w:pStyle w:val="7"/>
        <w:keepNext w:val="0"/>
        <w:keepLines w:val="0"/>
        <w:pageBreakBefore w:val="0"/>
        <w:widowControl w:val="0"/>
        <w:numPr>
          <w:ilvl w:val="0"/>
          <w:numId w:val="0"/>
        </w:numPr>
        <w:kinsoku/>
        <w:wordWrap/>
        <w:overflowPunct/>
        <w:topLinePunct w:val="0"/>
        <w:autoSpaceDE/>
        <w:autoSpaceDN/>
        <w:bidi w:val="0"/>
        <w:adjustRightInd w:val="0"/>
        <w:snapToGrid/>
        <w:spacing w:before="0" w:beforeAutospacing="0" w:after="0" w:afterAutospacing="0" w:line="560" w:lineRule="exact"/>
        <w:ind w:right="0" w:rightChars="0"/>
        <w:jc w:val="left"/>
        <w:textAlignment w:val="auto"/>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pP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 xml:space="preserve">    </w:t>
      </w:r>
    </w:p>
    <w:p w14:paraId="4FE0ABDE">
      <w:pPr>
        <w:pStyle w:val="7"/>
        <w:keepNext w:val="0"/>
        <w:keepLines w:val="0"/>
        <w:pageBreakBefore w:val="0"/>
        <w:widowControl w:val="0"/>
        <w:numPr>
          <w:ilvl w:val="0"/>
          <w:numId w:val="0"/>
        </w:numPr>
        <w:kinsoku/>
        <w:wordWrap/>
        <w:overflowPunct/>
        <w:topLinePunct w:val="0"/>
        <w:autoSpaceDE/>
        <w:autoSpaceDN/>
        <w:bidi w:val="0"/>
        <w:adjustRightInd w:val="0"/>
        <w:snapToGrid/>
        <w:spacing w:before="0" w:beforeAutospacing="0" w:after="0" w:afterAutospacing="0" w:line="560" w:lineRule="exact"/>
        <w:ind w:right="0" w:rightChars="0"/>
        <w:jc w:val="left"/>
        <w:textAlignment w:val="auto"/>
        <w:rPr>
          <w:rFonts w:hint="eastAsia" w:ascii="Nimbus Roman No9 L" w:hAnsi="Nimbus Roman No9 L" w:eastAsia="仿宋_GB2312" w:cs="仿宋_GB2312"/>
          <w:b w:val="0"/>
          <w:bCs w:val="0"/>
          <w:snapToGrid w:val="0"/>
          <w:color w:val="auto"/>
          <w:sz w:val="32"/>
          <w:szCs w:val="32"/>
          <w:highlight w:val="none"/>
          <w:lang w:eastAsia="zh-CN"/>
        </w:rPr>
      </w:pP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 xml:space="preserve">    </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一、承担高新技术企业项目、科技型中小企业项目的企业，其营业收入、</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研发费用</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分别以企业所得税汇算清缴时报送给税务部门的《A100000 中华人民共和国企业所得税年度纳税申报表（A类）》《A107012研发费用加计扣除优惠明细表》佐证。承担猎豹企业项目的企业，其营业收入以《A100000 中华人民共和国企业所得税年度纳税申报表（A类）》，其</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研发费用</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以企业年度财务审计报告佐证。</w:t>
      </w:r>
      <w:r>
        <w:rPr>
          <w:rFonts w:hint="eastAsia" w:ascii="Nimbus Roman No9 L" w:hAnsi="Nimbus Roman No9 L" w:eastAsia="仿宋_GB2312" w:cs="仿宋_GB2312"/>
          <w:b w:val="0"/>
          <w:bCs w:val="0"/>
          <w:snapToGrid w:val="0"/>
          <w:color w:val="auto"/>
          <w:sz w:val="32"/>
          <w:szCs w:val="32"/>
          <w:highlight w:val="none"/>
          <w:lang w:eastAsia="zh-CN"/>
        </w:rPr>
        <w:t>如果年度汇算清缴结束后更正了申报信息，需提供截至项目合同（调整协议）约定的完成日的最后一次有效申报信息。</w:t>
      </w:r>
      <w:r>
        <w:rPr>
          <w:rFonts w:hint="eastAsia" w:ascii="仿宋_GB2312" w:hAnsi="仿宋_GB2312" w:eastAsia="仿宋_GB2312" w:cs="仿宋_GB2312"/>
          <w:i w:val="0"/>
          <w:caps w:val="0"/>
          <w:color w:val="auto"/>
          <w:spacing w:val="0"/>
          <w:sz w:val="32"/>
          <w:szCs w:val="32"/>
          <w:shd w:val="clear" w:color="auto" w:fill="FFFFFF"/>
          <w:lang w:val="en-US" w:eastAsia="zh-CN"/>
        </w:rPr>
        <w:t>企业提供佐证材料时，请提供</w:t>
      </w:r>
      <w:r>
        <w:rPr>
          <w:rFonts w:hint="eastAsia" w:ascii="Nimbus Roman No9 L" w:hAnsi="Nimbus Roman No9 L" w:eastAsia="仿宋_GB2312" w:cs="仿宋_GB2312"/>
          <w:snapToGrid w:val="0"/>
          <w:color w:val="auto"/>
          <w:sz w:val="32"/>
          <w:szCs w:val="32"/>
          <w:highlight w:val="none"/>
          <w:lang w:val="en-US" w:eastAsia="zh-CN"/>
        </w:rPr>
        <w:t>完整的《中华人民共和国企业所得税年度纳税申报表》一套表。</w:t>
      </w:r>
    </w:p>
    <w:p w14:paraId="4ADEE428">
      <w:pPr>
        <w:pStyle w:val="7"/>
        <w:keepNext w:val="0"/>
        <w:keepLines w:val="0"/>
        <w:pageBreakBefore w:val="0"/>
        <w:widowControl w:val="0"/>
        <w:kinsoku/>
        <w:wordWrap/>
        <w:overflowPunct/>
        <w:topLinePunct w:val="0"/>
        <w:autoSpaceDE/>
        <w:autoSpaceDN/>
        <w:bidi w:val="0"/>
        <w:adjustRightInd/>
        <w:snapToGrid w:val="0"/>
        <w:spacing w:before="0" w:beforeAutospacing="0" w:after="0" w:afterAutospacing="0" w:line="560" w:lineRule="exact"/>
        <w:ind w:left="0" w:leftChars="0" w:firstLine="640" w:firstLineChars="200"/>
        <w:jc w:val="left"/>
        <w:textAlignment w:val="auto"/>
        <w:rPr>
          <w:rFonts w:hint="eastAsia" w:ascii="Nimbus Roman No9 L" w:hAnsi="Nimbus Roman No9 L" w:eastAsia="仿宋_GB2312" w:cs="仿宋_GB2312"/>
          <w:b w:val="0"/>
          <w:bCs w:val="0"/>
          <w:snapToGrid w:val="0"/>
          <w:color w:val="auto"/>
          <w:sz w:val="32"/>
          <w:szCs w:val="32"/>
          <w:highlight w:val="none"/>
          <w:lang w:eastAsia="zh-CN"/>
        </w:rPr>
      </w:pPr>
      <w:r>
        <w:rPr>
          <w:rFonts w:hint="eastAsia" w:ascii="Nimbus Roman No9 L" w:hAnsi="Nimbus Roman No9 L" w:eastAsia="仿宋_GB2312" w:cs="仿宋_GB2312"/>
          <w:b w:val="0"/>
          <w:bCs w:val="0"/>
          <w:i w:val="0"/>
          <w:iCs w:val="0"/>
          <w:color w:val="auto"/>
          <w:spacing w:val="0"/>
          <w:sz w:val="32"/>
          <w:szCs w:val="32"/>
          <w:highlight w:val="none"/>
          <w:u w:val="none"/>
        </w:rPr>
        <w:t>二</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w:t>
      </w:r>
      <w:r>
        <w:rPr>
          <w:rFonts w:hint="eastAsia" w:ascii="Nimbus Roman No9 L" w:hAnsi="Nimbus Roman No9 L" w:eastAsia="仿宋_GB2312" w:cs="仿宋_GB2312"/>
          <w:b w:val="0"/>
          <w:bCs w:val="0"/>
          <w:snapToGrid w:val="0"/>
          <w:color w:val="auto"/>
          <w:sz w:val="32"/>
          <w:szCs w:val="32"/>
          <w:highlight w:val="none"/>
          <w:lang w:eastAsia="zh-CN"/>
        </w:rPr>
        <w:fldChar w:fldCharType="begin"/>
      </w:r>
      <w:r>
        <w:rPr>
          <w:rFonts w:hint="eastAsia" w:ascii="Nimbus Roman No9 L" w:hAnsi="Nimbus Roman No9 L" w:eastAsia="仿宋_GB2312" w:cs="仿宋_GB2312"/>
          <w:b w:val="0"/>
          <w:bCs w:val="0"/>
          <w:snapToGrid w:val="0"/>
          <w:color w:val="auto"/>
          <w:sz w:val="32"/>
          <w:szCs w:val="32"/>
          <w:highlight w:val="none"/>
          <w:lang w:eastAsia="zh-CN"/>
        </w:rPr>
        <w:instrText xml:space="preserve"> = 2 \* ROMAN </w:instrText>
      </w:r>
      <w:r>
        <w:rPr>
          <w:rFonts w:hint="eastAsia" w:ascii="Nimbus Roman No9 L" w:hAnsi="Nimbus Roman No9 L" w:eastAsia="仿宋_GB2312" w:cs="仿宋_GB2312"/>
          <w:b w:val="0"/>
          <w:bCs w:val="0"/>
          <w:snapToGrid w:val="0"/>
          <w:color w:val="auto"/>
          <w:sz w:val="32"/>
          <w:szCs w:val="32"/>
          <w:highlight w:val="none"/>
          <w:lang w:eastAsia="zh-CN"/>
        </w:rPr>
        <w:fldChar w:fldCharType="separate"/>
      </w:r>
      <w:r>
        <w:rPr>
          <w:rFonts w:hint="eastAsia" w:ascii="Nimbus Roman No9 L" w:hAnsi="Nimbus Roman No9 L" w:eastAsia="仿宋_GB2312" w:cs="仿宋_GB2312"/>
          <w:b w:val="0"/>
          <w:bCs w:val="0"/>
          <w:snapToGrid w:val="0"/>
          <w:color w:val="auto"/>
          <w:sz w:val="32"/>
          <w:szCs w:val="32"/>
          <w:highlight w:val="none"/>
          <w:lang w:eastAsia="zh-CN"/>
        </w:rPr>
        <w:fldChar w:fldCharType="begin"/>
      </w:r>
      <w:r>
        <w:rPr>
          <w:rFonts w:hint="eastAsia" w:ascii="Nimbus Roman No9 L" w:hAnsi="Nimbus Roman No9 L" w:eastAsia="仿宋_GB2312" w:cs="仿宋_GB2312"/>
          <w:b w:val="0"/>
          <w:bCs w:val="0"/>
          <w:snapToGrid w:val="0"/>
          <w:color w:val="auto"/>
          <w:sz w:val="32"/>
          <w:szCs w:val="32"/>
          <w:highlight w:val="none"/>
          <w:lang w:eastAsia="zh-CN"/>
        </w:rPr>
        <w:instrText xml:space="preserve"> = 1 \* ROMAN </w:instrText>
      </w:r>
      <w:r>
        <w:rPr>
          <w:rFonts w:hint="eastAsia" w:ascii="Nimbus Roman No9 L" w:hAnsi="Nimbus Roman No9 L" w:eastAsia="仿宋_GB2312" w:cs="仿宋_GB2312"/>
          <w:b w:val="0"/>
          <w:bCs w:val="0"/>
          <w:snapToGrid w:val="0"/>
          <w:color w:val="auto"/>
          <w:sz w:val="32"/>
          <w:szCs w:val="32"/>
          <w:highlight w:val="none"/>
          <w:lang w:eastAsia="zh-CN"/>
        </w:rPr>
        <w:fldChar w:fldCharType="separate"/>
      </w:r>
      <w:r>
        <w:rPr>
          <w:rFonts w:hint="eastAsia" w:ascii="Nimbus Roman No9 L" w:hAnsi="Nimbus Roman No9 L" w:eastAsia="仿宋_GB2312" w:cs="仿宋_GB2312"/>
          <w:b w:val="0"/>
          <w:bCs w:val="0"/>
          <w:snapToGrid w:val="0"/>
          <w:color w:val="auto"/>
          <w:sz w:val="32"/>
          <w:szCs w:val="32"/>
          <w:highlight w:val="none"/>
          <w:lang w:eastAsia="zh-CN"/>
        </w:rPr>
        <w:t>I</w:t>
      </w:r>
      <w:r>
        <w:rPr>
          <w:rFonts w:hint="eastAsia" w:ascii="Nimbus Roman No9 L" w:hAnsi="Nimbus Roman No9 L" w:eastAsia="仿宋_GB2312" w:cs="仿宋_GB2312"/>
          <w:b w:val="0"/>
          <w:bCs w:val="0"/>
          <w:snapToGrid w:val="0"/>
          <w:color w:val="auto"/>
          <w:sz w:val="32"/>
          <w:szCs w:val="32"/>
          <w:highlight w:val="none"/>
          <w:lang w:eastAsia="zh-CN"/>
        </w:rPr>
        <w:fldChar w:fldCharType="end"/>
      </w:r>
      <w:r>
        <w:rPr>
          <w:rFonts w:hint="eastAsia" w:ascii="Nimbus Roman No9 L" w:hAnsi="Nimbus Roman No9 L" w:eastAsia="仿宋_GB2312" w:cs="仿宋_GB2312"/>
          <w:b w:val="0"/>
          <w:bCs w:val="0"/>
          <w:snapToGrid w:val="0"/>
          <w:color w:val="auto"/>
          <w:sz w:val="32"/>
          <w:szCs w:val="32"/>
          <w:highlight w:val="none"/>
          <w:lang w:eastAsia="zh-CN"/>
        </w:rPr>
        <w:fldChar w:fldCharType="end"/>
      </w:r>
      <w:r>
        <w:rPr>
          <w:rFonts w:hint="eastAsia" w:ascii="Nimbus Roman No9 L" w:hAnsi="Nimbus Roman No9 L" w:eastAsia="仿宋_GB2312" w:cs="仿宋_GB2312"/>
          <w:b w:val="0"/>
          <w:bCs w:val="0"/>
          <w:snapToGrid w:val="0"/>
          <w:color w:val="auto"/>
          <w:sz w:val="32"/>
          <w:szCs w:val="32"/>
          <w:highlight w:val="none"/>
          <w:lang w:eastAsia="zh-CN"/>
        </w:rPr>
        <w:t>类知识产权包括：</w:t>
      </w:r>
      <w:r>
        <w:rPr>
          <w:rFonts w:hint="eastAsia" w:ascii="Nimbus Roman No9 L" w:hAnsi="Nimbus Roman No9 L" w:eastAsia="仿宋_GB2312" w:cs="仿宋_GB2312"/>
          <w:b w:val="0"/>
          <w:bCs w:val="0"/>
          <w:snapToGrid w:val="0"/>
          <w:color w:val="auto"/>
          <w:sz w:val="32"/>
          <w:szCs w:val="32"/>
          <w:highlight w:val="none"/>
          <w:lang w:val="en-US" w:eastAsia="zh-CN"/>
        </w:rPr>
        <w:t>国内发明专利（不含</w:t>
      </w:r>
      <w:r>
        <w:rPr>
          <w:rFonts w:hint="eastAsia" w:ascii="Nimbus Roman No9 L" w:hAnsi="Nimbus Roman No9 L" w:eastAsia="仿宋_GB2312" w:cs="仿宋_GB2312"/>
          <w:b w:val="0"/>
          <w:bCs w:val="0"/>
          <w:snapToGrid w:val="0"/>
          <w:color w:val="auto"/>
          <w:sz w:val="32"/>
          <w:szCs w:val="32"/>
          <w:highlight w:val="none"/>
          <w:lang w:eastAsia="zh-CN"/>
        </w:rPr>
        <w:t>国防专利</w:t>
      </w:r>
      <w:r>
        <w:rPr>
          <w:rFonts w:hint="eastAsia" w:ascii="Nimbus Roman No9 L" w:hAnsi="Nimbus Roman No9 L" w:eastAsia="仿宋_GB2312" w:cs="仿宋_GB2312"/>
          <w:b w:val="0"/>
          <w:bCs w:val="0"/>
          <w:snapToGrid w:val="0"/>
          <w:color w:val="auto"/>
          <w:sz w:val="32"/>
          <w:szCs w:val="32"/>
          <w:highlight w:val="none"/>
          <w:lang w:val="en-US" w:eastAsia="zh-CN"/>
        </w:rPr>
        <w:t>）</w:t>
      </w:r>
      <w:r>
        <w:rPr>
          <w:rFonts w:hint="eastAsia" w:ascii="Nimbus Roman No9 L" w:hAnsi="Nimbus Roman No9 L" w:eastAsia="仿宋_GB2312" w:cs="仿宋_GB2312"/>
          <w:b w:val="0"/>
          <w:bCs w:val="0"/>
          <w:snapToGrid w:val="0"/>
          <w:color w:val="auto"/>
          <w:sz w:val="32"/>
          <w:szCs w:val="32"/>
          <w:highlight w:val="none"/>
          <w:lang w:eastAsia="zh-CN"/>
        </w:rPr>
        <w:t>、</w:t>
      </w:r>
      <w:r>
        <w:rPr>
          <w:rFonts w:hint="eastAsia" w:ascii="Nimbus Roman No9 L" w:hAnsi="Nimbus Roman No9 L" w:eastAsia="仿宋_GB2312" w:cs="仿宋_GB2312"/>
          <w:b w:val="0"/>
          <w:bCs w:val="0"/>
          <w:snapToGrid w:val="0"/>
          <w:color w:val="auto"/>
          <w:sz w:val="32"/>
          <w:szCs w:val="32"/>
          <w:highlight w:val="none"/>
          <w:lang w:val="en-US" w:eastAsia="zh-CN"/>
        </w:rPr>
        <w:t>海外发明专利，植物新品种权、水产新品种、畜禽新品种、国家级农作物品种、新兽药注册证书、林草良种，国家新药、国家一级中药保护品种、</w:t>
      </w:r>
      <w:r>
        <w:rPr>
          <w:rFonts w:hint="eastAsia" w:ascii="Nimbus Roman No9 L" w:hAnsi="Nimbus Roman No9 L" w:eastAsia="仿宋_GB2312" w:cs="仿宋_GB2312"/>
          <w:b w:val="0"/>
          <w:bCs w:val="0"/>
          <w:snapToGrid w:val="0"/>
          <w:color w:val="auto"/>
          <w:sz w:val="32"/>
          <w:szCs w:val="32"/>
          <w:highlight w:val="none"/>
          <w:lang w:eastAsia="zh-CN"/>
        </w:rPr>
        <w:t>Ⅲ类医疗器械注册</w:t>
      </w:r>
      <w:r>
        <w:rPr>
          <w:rFonts w:hint="eastAsia" w:ascii="Nimbus Roman No9 L" w:hAnsi="Nimbus Roman No9 L" w:eastAsia="仿宋_GB2312" w:cs="仿宋_GB2312"/>
          <w:b w:val="0"/>
          <w:bCs w:val="0"/>
          <w:snapToGrid w:val="0"/>
          <w:color w:val="auto"/>
          <w:sz w:val="32"/>
          <w:szCs w:val="32"/>
          <w:highlight w:val="none"/>
          <w:lang w:val="en-US" w:eastAsia="zh-CN"/>
        </w:rPr>
        <w:t>，集成电路布图设计专有权等。</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同族专利算一项。</w:t>
      </w:r>
      <w:r>
        <w:rPr>
          <w:rFonts w:hint="eastAsia" w:ascii="Nimbus Roman No9 L" w:hAnsi="Nimbus Roman No9 L" w:eastAsia="仿宋_GB2312" w:cs="仿宋_GB2312"/>
          <w:b w:val="0"/>
          <w:bCs w:val="0"/>
          <w:snapToGrid w:val="0"/>
          <w:color w:val="auto"/>
          <w:sz w:val="32"/>
          <w:szCs w:val="32"/>
          <w:highlight w:val="none"/>
          <w:lang w:eastAsia="zh-CN"/>
        </w:rPr>
        <w:t>专利的有效性以企业进行评价前获得授权证书或授权通知书并能提供缴费收据为准。</w:t>
      </w:r>
    </w:p>
    <w:p w14:paraId="1C745FD0">
      <w:pPr>
        <w:pStyle w:val="7"/>
        <w:keepNext w:val="0"/>
        <w:keepLines w:val="0"/>
        <w:pageBreakBefore w:val="0"/>
        <w:widowControl w:val="0"/>
        <w:kinsoku/>
        <w:wordWrap/>
        <w:overflowPunct/>
        <w:topLinePunct w:val="0"/>
        <w:autoSpaceDE/>
        <w:autoSpaceDN/>
        <w:bidi w:val="0"/>
        <w:adjustRightInd w:val="0"/>
        <w:snapToGrid/>
        <w:spacing w:before="0" w:beforeAutospacing="0" w:after="0" w:afterAutospacing="0" w:line="560" w:lineRule="exact"/>
        <w:ind w:firstLine="640" w:firstLineChars="200"/>
        <w:jc w:val="both"/>
        <w:textAlignment w:val="auto"/>
        <w:rPr>
          <w:rFonts w:hint="eastAsia" w:ascii="Nimbus Roman No9 L" w:hAnsi="Nimbus Roman No9 L" w:eastAsia="仿宋_GB2312" w:cs="仿宋_GB2312"/>
          <w:b w:val="0"/>
          <w:bCs w:val="0"/>
          <w:snapToGrid w:val="0"/>
          <w:color w:val="auto"/>
          <w:sz w:val="32"/>
          <w:szCs w:val="32"/>
          <w:highlight w:val="none"/>
          <w:lang w:eastAsia="zh-CN"/>
        </w:rPr>
      </w:pPr>
      <w:r>
        <w:rPr>
          <w:rFonts w:hint="eastAsia" w:ascii="Nimbus Roman No9 L" w:hAnsi="Nimbus Roman No9 L" w:eastAsia="仿宋_GB2312" w:cs="仿宋_GB2312"/>
          <w:b w:val="0"/>
          <w:bCs w:val="0"/>
          <w:snapToGrid w:val="0"/>
          <w:color w:val="auto"/>
          <w:sz w:val="32"/>
          <w:szCs w:val="32"/>
          <w:highlight w:val="none"/>
          <w:lang w:eastAsia="zh-CN"/>
        </w:rPr>
        <w:t>发明专利</w:t>
      </w:r>
      <w:r>
        <w:rPr>
          <w:rFonts w:hint="eastAsia" w:ascii="Nimbus Roman No9 L" w:hAnsi="Nimbus Roman No9 L" w:eastAsia="仿宋_GB2312" w:cs="仿宋_GB2312"/>
          <w:b w:val="0"/>
          <w:bCs w:val="0"/>
          <w:snapToGrid w:val="0"/>
          <w:color w:val="auto"/>
          <w:sz w:val="32"/>
          <w:szCs w:val="32"/>
          <w:highlight w:val="none"/>
          <w:lang w:val="en" w:eastAsia="zh-CN"/>
        </w:rPr>
        <w:t>、</w:t>
      </w:r>
      <w:r>
        <w:rPr>
          <w:rFonts w:hint="eastAsia" w:ascii="Nimbus Roman No9 L" w:hAnsi="Nimbus Roman No9 L" w:eastAsia="仿宋_GB2312" w:cs="仿宋_GB2312"/>
          <w:b w:val="0"/>
          <w:bCs w:val="0"/>
          <w:snapToGrid w:val="0"/>
          <w:color w:val="auto"/>
          <w:sz w:val="32"/>
          <w:szCs w:val="32"/>
          <w:highlight w:val="none"/>
          <w:lang w:eastAsia="zh-CN"/>
        </w:rPr>
        <w:t>集成电路布图设计专有权可在国家知识产权局网站（www.cnipa.gov.cn）查询专利标记和专利号。</w:t>
      </w:r>
    </w:p>
    <w:p w14:paraId="6A7FAE11">
      <w:pPr>
        <w:pStyle w:val="7"/>
        <w:keepNext w:val="0"/>
        <w:keepLines w:val="0"/>
        <w:pageBreakBefore w:val="0"/>
        <w:widowControl w:val="0"/>
        <w:kinsoku/>
        <w:wordWrap/>
        <w:overflowPunct/>
        <w:topLinePunct w:val="0"/>
        <w:autoSpaceDE/>
        <w:autoSpaceDN/>
        <w:bidi w:val="0"/>
        <w:adjustRightInd w:val="0"/>
        <w:snapToGrid/>
        <w:spacing w:before="0" w:beforeAutospacing="0" w:after="0" w:afterAutospacing="0" w:line="560" w:lineRule="exact"/>
        <w:ind w:firstLine="640" w:firstLineChars="200"/>
        <w:jc w:val="both"/>
        <w:textAlignment w:val="auto"/>
        <w:rPr>
          <w:rFonts w:hint="eastAsia" w:ascii="Nimbus Roman No9 L" w:hAnsi="Nimbus Roman No9 L" w:eastAsia="仿宋_GB2312" w:cs="仿宋_GB2312"/>
          <w:b w:val="0"/>
          <w:bCs w:val="0"/>
          <w:snapToGrid w:val="0"/>
          <w:color w:val="auto"/>
          <w:sz w:val="32"/>
          <w:szCs w:val="32"/>
          <w:highlight w:val="none"/>
          <w:lang w:eastAsia="zh-CN"/>
        </w:rPr>
      </w:pPr>
      <w:r>
        <w:rPr>
          <w:rFonts w:hint="eastAsia" w:ascii="Nimbus Roman No9 L" w:hAnsi="Nimbus Roman No9 L" w:eastAsia="仿宋_GB2312" w:cs="仿宋_GB2312"/>
          <w:b w:val="0"/>
          <w:bCs w:val="0"/>
          <w:snapToGrid w:val="0"/>
          <w:color w:val="auto"/>
          <w:sz w:val="32"/>
          <w:szCs w:val="32"/>
          <w:highlight w:val="none"/>
          <w:lang w:eastAsia="zh-CN"/>
        </w:rPr>
        <w:t>国家新药</w:t>
      </w:r>
      <w:r>
        <w:rPr>
          <w:rFonts w:hint="default" w:ascii="Nimbus Roman No9 L" w:hAnsi="Nimbus Roman No9 L" w:eastAsia="仿宋_GB2312" w:cs="仿宋_GB2312"/>
          <w:b w:val="0"/>
          <w:bCs w:val="0"/>
          <w:snapToGrid w:val="0"/>
          <w:color w:val="auto"/>
          <w:sz w:val="32"/>
          <w:szCs w:val="32"/>
          <w:highlight w:val="none"/>
          <w:lang w:eastAsia="zh-CN"/>
        </w:rPr>
        <w:t>应</w:t>
      </w:r>
      <w:r>
        <w:rPr>
          <w:rFonts w:hint="eastAsia" w:ascii="Nimbus Roman No9 L" w:hAnsi="Nimbus Roman No9 L" w:eastAsia="仿宋_GB2312" w:cs="仿宋_GB2312"/>
          <w:b w:val="0"/>
          <w:bCs w:val="0"/>
          <w:snapToGrid w:val="0"/>
          <w:color w:val="auto"/>
          <w:sz w:val="32"/>
          <w:szCs w:val="32"/>
          <w:highlight w:val="none"/>
          <w:lang w:eastAsia="zh-CN"/>
        </w:rPr>
        <w:t>提供国家食品药品监督管理局签发的新药证书。</w:t>
      </w:r>
    </w:p>
    <w:p w14:paraId="7C2B625A">
      <w:pPr>
        <w:pStyle w:val="7"/>
        <w:keepNext w:val="0"/>
        <w:keepLines w:val="0"/>
        <w:pageBreakBefore w:val="0"/>
        <w:widowControl w:val="0"/>
        <w:kinsoku/>
        <w:wordWrap/>
        <w:overflowPunct/>
        <w:topLinePunct w:val="0"/>
        <w:autoSpaceDE/>
        <w:autoSpaceDN/>
        <w:bidi w:val="0"/>
        <w:adjustRightInd w:val="0"/>
        <w:snapToGrid/>
        <w:spacing w:before="0" w:beforeAutospacing="0" w:after="0" w:afterAutospacing="0" w:line="560" w:lineRule="exact"/>
        <w:ind w:firstLine="640" w:firstLineChars="200"/>
        <w:jc w:val="both"/>
        <w:textAlignment w:val="auto"/>
        <w:rPr>
          <w:rFonts w:hint="eastAsia" w:ascii="Nimbus Roman No9 L" w:hAnsi="Nimbus Roman No9 L" w:eastAsia="仿宋_GB2312" w:cs="仿宋_GB2312"/>
          <w:b w:val="0"/>
          <w:bCs w:val="0"/>
          <w:snapToGrid w:val="0"/>
          <w:color w:val="auto"/>
          <w:sz w:val="32"/>
          <w:szCs w:val="32"/>
          <w:highlight w:val="none"/>
          <w:lang w:eastAsia="zh-CN"/>
        </w:rPr>
      </w:pPr>
      <w:r>
        <w:rPr>
          <w:rFonts w:hint="eastAsia" w:ascii="Nimbus Roman No9 L" w:hAnsi="Nimbus Roman No9 L" w:eastAsia="仿宋_GB2312" w:cs="仿宋_GB2312"/>
          <w:b w:val="0"/>
          <w:bCs w:val="0"/>
          <w:snapToGrid w:val="0"/>
          <w:color w:val="auto"/>
          <w:sz w:val="32"/>
          <w:szCs w:val="32"/>
          <w:highlight w:val="none"/>
          <w:lang w:eastAsia="zh-CN"/>
        </w:rPr>
        <w:t>国家一级中药保护品种指国家药品监督管理局审批的中药一级保护品种，可以从国家药品监督管理局网站（www.nmpa.gov.cn）查询。</w:t>
      </w:r>
    </w:p>
    <w:p w14:paraId="1EDE91E0">
      <w:pPr>
        <w:pStyle w:val="7"/>
        <w:keepNext w:val="0"/>
        <w:keepLines w:val="0"/>
        <w:pageBreakBefore w:val="0"/>
        <w:widowControl w:val="0"/>
        <w:kinsoku/>
        <w:wordWrap/>
        <w:overflowPunct/>
        <w:topLinePunct w:val="0"/>
        <w:autoSpaceDE/>
        <w:autoSpaceDN/>
        <w:bidi w:val="0"/>
        <w:adjustRightInd w:val="0"/>
        <w:snapToGrid/>
        <w:spacing w:before="0" w:beforeAutospacing="0" w:after="0" w:afterAutospacing="0" w:line="560" w:lineRule="exact"/>
        <w:ind w:firstLine="640" w:firstLineChars="200"/>
        <w:jc w:val="both"/>
        <w:textAlignment w:val="auto"/>
        <w:rPr>
          <w:rFonts w:hint="eastAsia" w:ascii="Nimbus Roman No9 L" w:hAnsi="Nimbus Roman No9 L" w:eastAsia="仿宋_GB2312" w:cs="仿宋_GB2312"/>
          <w:b w:val="0"/>
          <w:bCs w:val="0"/>
          <w:snapToGrid w:val="0"/>
          <w:color w:val="auto"/>
          <w:sz w:val="32"/>
          <w:szCs w:val="32"/>
          <w:highlight w:val="none"/>
          <w:lang w:eastAsia="zh-CN"/>
        </w:rPr>
      </w:pPr>
      <w:r>
        <w:rPr>
          <w:rFonts w:hint="eastAsia" w:ascii="Nimbus Roman No9 L" w:hAnsi="Nimbus Roman No9 L" w:eastAsia="仿宋_GB2312" w:cs="仿宋_GB2312"/>
          <w:b w:val="0"/>
          <w:bCs w:val="0"/>
          <w:snapToGrid w:val="0"/>
          <w:color w:val="auto"/>
          <w:sz w:val="32"/>
          <w:szCs w:val="32"/>
          <w:highlight w:val="none"/>
          <w:lang w:eastAsia="zh-CN"/>
        </w:rPr>
        <w:t>Ⅲ类医疗器械注册指通过国家药品监督管理局Ⅲ类医疗器械注册并签发证书，可以从国家药品监督管理局网站（www.nmpa.gov.cn）查询（医疗器械注册证编号以“3”开头的为Ⅲ类医疗器械）。</w:t>
      </w:r>
    </w:p>
    <w:p w14:paraId="3719C003">
      <w:pPr>
        <w:pStyle w:val="7"/>
        <w:keepNext w:val="0"/>
        <w:keepLines w:val="0"/>
        <w:pageBreakBefore w:val="0"/>
        <w:widowControl w:val="0"/>
        <w:kinsoku/>
        <w:wordWrap/>
        <w:overflowPunct/>
        <w:topLinePunct w:val="0"/>
        <w:autoSpaceDE/>
        <w:autoSpaceDN/>
        <w:bidi w:val="0"/>
        <w:adjustRightInd w:val="0"/>
        <w:snapToGrid/>
        <w:spacing w:before="0" w:beforeAutospacing="0" w:after="0" w:afterAutospacing="0" w:line="560" w:lineRule="exact"/>
        <w:ind w:firstLine="640" w:firstLineChars="200"/>
        <w:jc w:val="both"/>
        <w:textAlignment w:val="auto"/>
        <w:rPr>
          <w:rFonts w:hint="eastAsia" w:ascii="Nimbus Roman No9 L" w:hAnsi="Nimbus Roman No9 L" w:eastAsia="仿宋_GB2312" w:cs="仿宋_GB2312"/>
          <w:b w:val="0"/>
          <w:bCs w:val="0"/>
          <w:snapToGrid w:val="0"/>
          <w:color w:val="auto"/>
          <w:sz w:val="32"/>
          <w:szCs w:val="32"/>
          <w:highlight w:val="none"/>
          <w:lang w:val="en-US" w:eastAsia="zh-CN"/>
        </w:rPr>
      </w:pPr>
      <w:r>
        <w:rPr>
          <w:rFonts w:hint="eastAsia" w:ascii="Nimbus Roman No9 L" w:hAnsi="Nimbus Roman No9 L" w:eastAsia="仿宋_GB2312" w:cs="仿宋_GB2312"/>
          <w:b w:val="0"/>
          <w:bCs w:val="0"/>
          <w:snapToGrid w:val="0"/>
          <w:color w:val="auto"/>
          <w:sz w:val="32"/>
          <w:szCs w:val="32"/>
          <w:highlight w:val="none"/>
          <w:lang w:val="en-US" w:eastAsia="zh-CN"/>
        </w:rPr>
        <w:t>新兽药注册证书为农业部根据《</w:t>
      </w:r>
      <w:r>
        <w:rPr>
          <w:rFonts w:hint="eastAsia" w:ascii="Nimbus Roman No9 L" w:hAnsi="Nimbus Roman No9 L" w:eastAsia="仿宋_GB2312" w:cs="仿宋_GB2312"/>
          <w:b w:val="0"/>
          <w:bCs w:val="0"/>
          <w:snapToGrid w:val="0"/>
          <w:color w:val="auto"/>
          <w:sz w:val="32"/>
          <w:szCs w:val="32"/>
          <w:highlight w:val="none"/>
          <w:lang w:val="en-US" w:eastAsia="zh-CN"/>
        </w:rPr>
        <w:fldChar w:fldCharType="begin"/>
      </w:r>
      <w:r>
        <w:rPr>
          <w:rFonts w:hint="eastAsia" w:ascii="Nimbus Roman No9 L" w:hAnsi="Nimbus Roman No9 L" w:eastAsia="仿宋_GB2312" w:cs="仿宋_GB2312"/>
          <w:b w:val="0"/>
          <w:bCs w:val="0"/>
          <w:snapToGrid w:val="0"/>
          <w:color w:val="auto"/>
          <w:sz w:val="32"/>
          <w:szCs w:val="32"/>
          <w:highlight w:val="none"/>
          <w:lang w:val="en-US" w:eastAsia="zh-CN"/>
        </w:rPr>
        <w:instrText xml:space="preserve"> HYPERLINK "https://baike.baidu.com/item/%E5%85%BD%E8%8D%AF%E6%B3%A8%E5%86%8C%E5%8A%9E%E6%B3%95/8005218?fromModule=lemma_inlink" \t "/home/greatwall/文档\\x/_blank" </w:instrText>
      </w:r>
      <w:r>
        <w:rPr>
          <w:rFonts w:hint="eastAsia" w:ascii="Nimbus Roman No9 L" w:hAnsi="Nimbus Roman No9 L" w:eastAsia="仿宋_GB2312" w:cs="仿宋_GB2312"/>
          <w:b w:val="0"/>
          <w:bCs w:val="0"/>
          <w:snapToGrid w:val="0"/>
          <w:color w:val="auto"/>
          <w:sz w:val="32"/>
          <w:szCs w:val="32"/>
          <w:highlight w:val="none"/>
          <w:lang w:val="en-US" w:eastAsia="zh-CN"/>
        </w:rPr>
        <w:fldChar w:fldCharType="separate"/>
      </w:r>
      <w:r>
        <w:rPr>
          <w:rFonts w:hint="eastAsia" w:ascii="Nimbus Roman No9 L" w:hAnsi="Nimbus Roman No9 L" w:eastAsia="仿宋_GB2312" w:cs="仿宋_GB2312"/>
          <w:b w:val="0"/>
          <w:bCs w:val="0"/>
          <w:snapToGrid w:val="0"/>
          <w:color w:val="auto"/>
          <w:sz w:val="32"/>
          <w:szCs w:val="32"/>
          <w:highlight w:val="none"/>
          <w:lang w:val="en-US" w:eastAsia="zh-CN"/>
        </w:rPr>
        <w:t>兽药注册办法</w:t>
      </w:r>
      <w:r>
        <w:rPr>
          <w:rFonts w:hint="eastAsia" w:ascii="Nimbus Roman No9 L" w:hAnsi="Nimbus Roman No9 L" w:eastAsia="仿宋_GB2312" w:cs="仿宋_GB2312"/>
          <w:b w:val="0"/>
          <w:bCs w:val="0"/>
          <w:snapToGrid w:val="0"/>
          <w:color w:val="auto"/>
          <w:sz w:val="32"/>
          <w:szCs w:val="32"/>
          <w:highlight w:val="none"/>
          <w:lang w:val="en-US" w:eastAsia="zh-CN"/>
        </w:rPr>
        <w:fldChar w:fldCharType="end"/>
      </w:r>
      <w:r>
        <w:rPr>
          <w:rFonts w:hint="eastAsia" w:ascii="Nimbus Roman No9 L" w:hAnsi="Nimbus Roman No9 L" w:eastAsia="仿宋_GB2312" w:cs="仿宋_GB2312"/>
          <w:b w:val="0"/>
          <w:bCs w:val="0"/>
          <w:snapToGrid w:val="0"/>
          <w:color w:val="auto"/>
          <w:sz w:val="32"/>
          <w:szCs w:val="32"/>
          <w:highlight w:val="none"/>
          <w:lang w:val="en-US" w:eastAsia="zh-CN"/>
        </w:rPr>
        <w:t>》和</w:t>
      </w:r>
      <w:r>
        <w:rPr>
          <w:rFonts w:hint="eastAsia" w:ascii="Nimbus Roman No9 L" w:hAnsi="Nimbus Roman No9 L" w:eastAsia="仿宋_GB2312" w:cs="仿宋_GB2312"/>
          <w:b w:val="0"/>
          <w:bCs w:val="0"/>
          <w:snapToGrid w:val="0"/>
          <w:color w:val="auto"/>
          <w:sz w:val="32"/>
          <w:szCs w:val="32"/>
          <w:highlight w:val="none"/>
          <w:lang w:val="en-US" w:eastAsia="zh-CN"/>
        </w:rPr>
        <w:fldChar w:fldCharType="begin"/>
      </w:r>
      <w:r>
        <w:rPr>
          <w:rFonts w:hint="eastAsia" w:ascii="Nimbus Roman No9 L" w:hAnsi="Nimbus Roman No9 L" w:eastAsia="仿宋_GB2312" w:cs="仿宋_GB2312"/>
          <w:b w:val="0"/>
          <w:bCs w:val="0"/>
          <w:snapToGrid w:val="0"/>
          <w:color w:val="auto"/>
          <w:sz w:val="32"/>
          <w:szCs w:val="32"/>
          <w:highlight w:val="none"/>
          <w:lang w:val="en-US" w:eastAsia="zh-CN"/>
        </w:rPr>
        <w:instrText xml:space="preserve"> HYPERLINK "https://baike.baidu.com/item/%E4%B8%AD%E5%8D%8E%E4%BA%BA%E6%B0%91%E5%85%B1%E5%92%8C%E5%9B%BD%E5%86%9C%E4%B8%9A%E9%83%A8/3565673?fromModule=lemma_inlink" \t "/home/greatwall/文档\\x/_blank" </w:instrText>
      </w:r>
      <w:r>
        <w:rPr>
          <w:rFonts w:hint="eastAsia" w:ascii="Nimbus Roman No9 L" w:hAnsi="Nimbus Roman No9 L" w:eastAsia="仿宋_GB2312" w:cs="仿宋_GB2312"/>
          <w:b w:val="0"/>
          <w:bCs w:val="0"/>
          <w:snapToGrid w:val="0"/>
          <w:color w:val="auto"/>
          <w:sz w:val="32"/>
          <w:szCs w:val="32"/>
          <w:highlight w:val="none"/>
          <w:lang w:val="en-US" w:eastAsia="zh-CN"/>
        </w:rPr>
        <w:fldChar w:fldCharType="separate"/>
      </w:r>
      <w:r>
        <w:rPr>
          <w:rFonts w:hint="eastAsia" w:ascii="Nimbus Roman No9 L" w:hAnsi="Nimbus Roman No9 L" w:eastAsia="仿宋_GB2312" w:cs="仿宋_GB2312"/>
          <w:b w:val="0"/>
          <w:bCs w:val="0"/>
          <w:snapToGrid w:val="0"/>
          <w:color w:val="auto"/>
          <w:sz w:val="32"/>
          <w:szCs w:val="32"/>
          <w:highlight w:val="none"/>
          <w:lang w:val="en-US" w:eastAsia="zh-CN"/>
        </w:rPr>
        <w:t>中华人民共和国农业部</w:t>
      </w:r>
      <w:r>
        <w:rPr>
          <w:rFonts w:hint="eastAsia" w:ascii="Nimbus Roman No9 L" w:hAnsi="Nimbus Roman No9 L" w:eastAsia="仿宋_GB2312" w:cs="仿宋_GB2312"/>
          <w:b w:val="0"/>
          <w:bCs w:val="0"/>
          <w:snapToGrid w:val="0"/>
          <w:color w:val="auto"/>
          <w:sz w:val="32"/>
          <w:szCs w:val="32"/>
          <w:highlight w:val="none"/>
          <w:lang w:val="en-US" w:eastAsia="zh-CN"/>
        </w:rPr>
        <w:fldChar w:fldCharType="end"/>
      </w:r>
      <w:r>
        <w:rPr>
          <w:rFonts w:hint="eastAsia" w:ascii="Nimbus Roman No9 L" w:hAnsi="Nimbus Roman No9 L" w:eastAsia="仿宋_GB2312" w:cs="仿宋_GB2312"/>
          <w:b w:val="0"/>
          <w:bCs w:val="0"/>
          <w:snapToGrid w:val="0"/>
          <w:color w:val="auto"/>
          <w:sz w:val="32"/>
          <w:szCs w:val="32"/>
          <w:highlight w:val="none"/>
          <w:lang w:val="en-US" w:eastAsia="zh-CN"/>
        </w:rPr>
        <w:t>公告 第442号，对新兽药申请人递交的新兽药注册申请审查合格后，颁布的注册证书。通过中国兽药信息网的兽药政务信息系统管理平台（http://www.ivdc.org.cn/xxgk/syzwglpt/）进行查询。</w:t>
      </w:r>
    </w:p>
    <w:p w14:paraId="7A456891">
      <w:pPr>
        <w:pStyle w:val="7"/>
        <w:keepNext w:val="0"/>
        <w:keepLines w:val="0"/>
        <w:pageBreakBefore w:val="0"/>
        <w:widowControl w:val="0"/>
        <w:kinsoku/>
        <w:wordWrap/>
        <w:overflowPunct/>
        <w:topLinePunct w:val="0"/>
        <w:autoSpaceDE/>
        <w:autoSpaceDN/>
        <w:bidi w:val="0"/>
        <w:adjustRightInd w:val="0"/>
        <w:snapToGrid/>
        <w:spacing w:before="0" w:beforeAutospacing="0" w:after="0" w:afterAutospacing="0" w:line="560" w:lineRule="exact"/>
        <w:ind w:firstLine="640" w:firstLineChars="200"/>
        <w:jc w:val="both"/>
        <w:textAlignment w:val="auto"/>
        <w:rPr>
          <w:rFonts w:hint="eastAsia" w:ascii="Nimbus Roman No9 L" w:hAnsi="Nimbus Roman No9 L" w:eastAsia="仿宋_GB2312" w:cs="仿宋_GB2312"/>
          <w:b w:val="0"/>
          <w:bCs w:val="0"/>
          <w:snapToGrid w:val="0"/>
          <w:color w:val="auto"/>
          <w:sz w:val="32"/>
          <w:szCs w:val="32"/>
          <w:highlight w:val="none"/>
          <w:lang w:eastAsia="zh-CN"/>
        </w:rPr>
      </w:pPr>
      <w:r>
        <w:rPr>
          <w:rFonts w:hint="eastAsia" w:ascii="Nimbus Roman No9 L" w:hAnsi="Nimbus Roman No9 L" w:eastAsia="仿宋_GB2312" w:cs="仿宋_GB2312"/>
          <w:b w:val="0"/>
          <w:bCs w:val="0"/>
          <w:snapToGrid w:val="0"/>
          <w:color w:val="auto"/>
          <w:sz w:val="32"/>
          <w:szCs w:val="32"/>
          <w:highlight w:val="none"/>
          <w:lang w:eastAsia="zh-CN"/>
        </w:rPr>
        <w:t>水产新品种指农业农村部全国水产原种和良种审定委员会审定的水产新品种，可从国家农业农村部渔业渔政管理局网站（www.yyj.moa.gov.cn）查询，企业应注明水产新品种通过审定的公告文件名称和公告日期。</w:t>
      </w:r>
    </w:p>
    <w:p w14:paraId="45C04C7E">
      <w:pPr>
        <w:pStyle w:val="7"/>
        <w:keepNext w:val="0"/>
        <w:keepLines w:val="0"/>
        <w:pageBreakBefore w:val="0"/>
        <w:widowControl w:val="0"/>
        <w:kinsoku/>
        <w:wordWrap/>
        <w:overflowPunct/>
        <w:topLinePunct w:val="0"/>
        <w:autoSpaceDE/>
        <w:autoSpaceDN/>
        <w:bidi w:val="0"/>
        <w:adjustRightInd w:val="0"/>
        <w:snapToGrid/>
        <w:spacing w:before="0" w:beforeAutospacing="0" w:after="0" w:afterAutospacing="0" w:line="560" w:lineRule="exact"/>
        <w:ind w:firstLine="640" w:firstLineChars="200"/>
        <w:jc w:val="both"/>
        <w:textAlignment w:val="auto"/>
        <w:rPr>
          <w:rFonts w:hint="eastAsia" w:ascii="Nimbus Roman No9 L" w:hAnsi="Nimbus Roman No9 L" w:eastAsia="仿宋_GB2312" w:cs="仿宋_GB2312"/>
          <w:b w:val="0"/>
          <w:bCs w:val="0"/>
          <w:snapToGrid w:val="0"/>
          <w:color w:val="auto"/>
          <w:sz w:val="32"/>
          <w:szCs w:val="32"/>
          <w:highlight w:val="none"/>
          <w:lang w:val="en-US" w:eastAsia="zh-CN"/>
        </w:rPr>
      </w:pPr>
      <w:r>
        <w:rPr>
          <w:rFonts w:hint="eastAsia" w:ascii="Nimbus Roman No9 L" w:hAnsi="Nimbus Roman No9 L" w:eastAsia="仿宋_GB2312" w:cs="仿宋_GB2312"/>
          <w:b w:val="0"/>
          <w:bCs w:val="0"/>
          <w:snapToGrid w:val="0"/>
          <w:color w:val="auto"/>
          <w:sz w:val="32"/>
          <w:szCs w:val="32"/>
          <w:highlight w:val="none"/>
          <w:lang w:val="en-US" w:eastAsia="zh-CN"/>
        </w:rPr>
        <w:t>畜禽新品种</w:t>
      </w:r>
      <w:r>
        <w:rPr>
          <w:rFonts w:hint="default" w:ascii="Nimbus Roman No9 L" w:hAnsi="Nimbus Roman No9 L" w:eastAsia="仿宋_GB2312" w:cs="仿宋_GB2312"/>
          <w:b w:val="0"/>
          <w:bCs w:val="0"/>
          <w:snapToGrid w:val="0"/>
          <w:color w:val="auto"/>
          <w:sz w:val="32"/>
          <w:szCs w:val="32"/>
          <w:highlight w:val="none"/>
          <w:lang w:eastAsia="zh-CN"/>
        </w:rPr>
        <w:t>（配套系）</w:t>
      </w:r>
      <w:r>
        <w:rPr>
          <w:rFonts w:hint="eastAsia" w:ascii="Nimbus Roman No9 L" w:hAnsi="Nimbus Roman No9 L" w:eastAsia="仿宋_GB2312" w:cs="仿宋_GB2312"/>
          <w:b w:val="0"/>
          <w:bCs w:val="0"/>
          <w:snapToGrid w:val="0"/>
          <w:color w:val="auto"/>
          <w:sz w:val="32"/>
          <w:szCs w:val="32"/>
          <w:highlight w:val="none"/>
          <w:lang w:val="en-US" w:eastAsia="zh-CN"/>
        </w:rPr>
        <w:t>可通过农业农村部官网（http://www.zzj.moa.gov.cn/）及全国畜牧总站官网（www.nahs.org.cn）进行查询。</w:t>
      </w:r>
    </w:p>
    <w:p w14:paraId="1982CAAB">
      <w:pPr>
        <w:pStyle w:val="7"/>
        <w:keepNext w:val="0"/>
        <w:keepLines w:val="0"/>
        <w:pageBreakBefore w:val="0"/>
        <w:widowControl w:val="0"/>
        <w:kinsoku/>
        <w:wordWrap/>
        <w:overflowPunct/>
        <w:topLinePunct w:val="0"/>
        <w:autoSpaceDE/>
        <w:autoSpaceDN/>
        <w:bidi w:val="0"/>
        <w:adjustRightInd w:val="0"/>
        <w:snapToGrid/>
        <w:spacing w:before="0" w:beforeAutospacing="0" w:after="0" w:afterAutospacing="0" w:line="560" w:lineRule="exact"/>
        <w:ind w:firstLine="640" w:firstLineChars="200"/>
        <w:jc w:val="both"/>
        <w:textAlignment w:val="auto"/>
        <w:rPr>
          <w:rFonts w:hint="eastAsia" w:ascii="Nimbus Roman No9 L" w:hAnsi="Nimbus Roman No9 L" w:eastAsia="仿宋_GB2312" w:cs="仿宋_GB2312"/>
          <w:b w:val="0"/>
          <w:bCs w:val="0"/>
          <w:snapToGrid w:val="0"/>
          <w:color w:val="auto"/>
          <w:sz w:val="32"/>
          <w:szCs w:val="32"/>
          <w:highlight w:val="none"/>
          <w:lang w:eastAsia="zh-CN"/>
        </w:rPr>
      </w:pPr>
      <w:r>
        <w:rPr>
          <w:rFonts w:hint="eastAsia" w:ascii="Nimbus Roman No9 L" w:hAnsi="Nimbus Roman No9 L" w:eastAsia="仿宋_GB2312" w:cs="仿宋_GB2312"/>
          <w:b w:val="0"/>
          <w:bCs w:val="0"/>
          <w:snapToGrid w:val="0"/>
          <w:color w:val="auto"/>
          <w:sz w:val="32"/>
          <w:szCs w:val="32"/>
          <w:highlight w:val="none"/>
          <w:lang w:val="en-US" w:eastAsia="zh-CN"/>
        </w:rPr>
        <w:t>植物新品种权</w:t>
      </w:r>
      <w:r>
        <w:rPr>
          <w:rFonts w:hint="eastAsia" w:ascii="Nimbus Roman No9 L" w:hAnsi="Nimbus Roman No9 L" w:eastAsia="仿宋_GB2312" w:cs="仿宋_GB2312"/>
          <w:b w:val="0"/>
          <w:bCs w:val="0"/>
          <w:snapToGrid w:val="0"/>
          <w:color w:val="auto"/>
          <w:sz w:val="32"/>
          <w:szCs w:val="32"/>
          <w:highlight w:val="none"/>
          <w:lang w:eastAsia="zh-CN"/>
        </w:rPr>
        <w:t>可从国家农业农村部种子管理局网站（www.zzj.moa.gov.cn）查询，企业应注明授予植物新品种权的公告文件名称和公告日期；林业植物新品种权可从国家林业和草原局植物新品种保护办公室网站（https://ydbg.forestry.gov.cn/adminapproval/）查询。</w:t>
      </w:r>
    </w:p>
    <w:p w14:paraId="0352A7EA">
      <w:pPr>
        <w:pStyle w:val="7"/>
        <w:keepNext w:val="0"/>
        <w:keepLines w:val="0"/>
        <w:pageBreakBefore w:val="0"/>
        <w:widowControl w:val="0"/>
        <w:kinsoku/>
        <w:wordWrap/>
        <w:overflowPunct/>
        <w:topLinePunct w:val="0"/>
        <w:autoSpaceDE/>
        <w:autoSpaceDN/>
        <w:bidi w:val="0"/>
        <w:adjustRightInd w:val="0"/>
        <w:snapToGrid/>
        <w:spacing w:before="0" w:beforeAutospacing="0" w:after="0" w:afterAutospacing="0" w:line="560" w:lineRule="exact"/>
        <w:ind w:firstLine="640" w:firstLineChars="200"/>
        <w:jc w:val="both"/>
        <w:textAlignment w:val="auto"/>
        <w:rPr>
          <w:rFonts w:hint="eastAsia" w:ascii="Nimbus Roman No9 L" w:hAnsi="Nimbus Roman No9 L" w:eastAsia="仿宋_GB2312" w:cs="仿宋_GB2312"/>
          <w:b w:val="0"/>
          <w:bCs w:val="0"/>
          <w:snapToGrid w:val="0"/>
          <w:color w:val="auto"/>
          <w:sz w:val="32"/>
          <w:szCs w:val="32"/>
          <w:highlight w:val="none"/>
          <w:lang w:eastAsia="zh-CN"/>
        </w:rPr>
      </w:pPr>
      <w:r>
        <w:rPr>
          <w:rFonts w:hint="eastAsia" w:ascii="Nimbus Roman No9 L" w:hAnsi="Nimbus Roman No9 L" w:eastAsia="仿宋_GB2312" w:cs="仿宋_GB2312"/>
          <w:b w:val="0"/>
          <w:bCs w:val="0"/>
          <w:snapToGrid w:val="0"/>
          <w:color w:val="auto"/>
          <w:sz w:val="32"/>
          <w:szCs w:val="32"/>
          <w:highlight w:val="none"/>
          <w:lang w:val="en-US" w:eastAsia="zh-CN"/>
        </w:rPr>
        <w:t>国家级农作物品种</w:t>
      </w:r>
      <w:r>
        <w:rPr>
          <w:rFonts w:hint="eastAsia" w:ascii="Nimbus Roman No9 L" w:hAnsi="Nimbus Roman No9 L" w:eastAsia="仿宋_GB2312" w:cs="仿宋_GB2312"/>
          <w:b w:val="0"/>
          <w:bCs w:val="0"/>
          <w:snapToGrid w:val="0"/>
          <w:color w:val="auto"/>
          <w:sz w:val="32"/>
          <w:szCs w:val="32"/>
          <w:highlight w:val="none"/>
          <w:lang w:eastAsia="zh-CN"/>
        </w:rPr>
        <w:t>指农业农村部国家农作物品种审定委员会审定公告的农作物品种，可以从中国种业数据大平台（网址：202.127.42.145）查询（查询结果须是未撤销的主要农作物品种，即未被农业农村部停止推广的农作物品种）。</w:t>
      </w:r>
    </w:p>
    <w:p w14:paraId="4E5CAF69">
      <w:pPr>
        <w:pStyle w:val="7"/>
        <w:keepNext w:val="0"/>
        <w:keepLines w:val="0"/>
        <w:pageBreakBefore w:val="0"/>
        <w:widowControl w:val="0"/>
        <w:kinsoku/>
        <w:wordWrap/>
        <w:overflowPunct/>
        <w:topLinePunct w:val="0"/>
        <w:autoSpaceDE/>
        <w:autoSpaceDN/>
        <w:bidi w:val="0"/>
        <w:adjustRightInd w:val="0"/>
        <w:snapToGrid/>
        <w:spacing w:before="0" w:beforeAutospacing="0" w:after="0" w:afterAutospacing="0" w:line="560" w:lineRule="exact"/>
        <w:ind w:firstLine="640" w:firstLineChars="200"/>
        <w:jc w:val="both"/>
        <w:textAlignment w:val="auto"/>
        <w:rPr>
          <w:rFonts w:hint="eastAsia" w:ascii="Nimbus Roman No9 L" w:hAnsi="Nimbus Roman No9 L" w:eastAsia="仿宋_GB2312" w:cs="仿宋_GB2312"/>
          <w:b w:val="0"/>
          <w:bCs w:val="0"/>
          <w:snapToGrid w:val="0"/>
          <w:color w:val="auto"/>
          <w:sz w:val="32"/>
          <w:szCs w:val="32"/>
          <w:highlight w:val="none"/>
          <w:lang w:val="en-US" w:eastAsia="zh-CN"/>
        </w:rPr>
      </w:pPr>
      <w:r>
        <w:rPr>
          <w:rFonts w:hint="eastAsia" w:ascii="Nimbus Roman No9 L" w:hAnsi="Nimbus Roman No9 L" w:eastAsia="仿宋_GB2312" w:cs="仿宋_GB2312"/>
          <w:b w:val="0"/>
          <w:bCs w:val="0"/>
          <w:snapToGrid w:val="0"/>
          <w:color w:val="auto"/>
          <w:sz w:val="32"/>
          <w:szCs w:val="32"/>
          <w:highlight w:val="none"/>
          <w:lang w:val="en-US" w:eastAsia="zh-CN"/>
        </w:rPr>
        <w:t>林草良种，可通过国家林业和草原局</w:t>
      </w:r>
      <w:r>
        <w:rPr>
          <w:rFonts w:hint="eastAsia" w:ascii="Nimbus Roman No9 L" w:hAnsi="Nimbus Roman No9 L" w:eastAsia="仿宋_GB2312" w:cs="仿宋_GB2312"/>
          <w:b w:val="0"/>
          <w:bCs w:val="0"/>
          <w:snapToGrid w:val="0"/>
          <w:color w:val="auto"/>
          <w:sz w:val="32"/>
          <w:szCs w:val="32"/>
          <w:highlight w:val="none"/>
          <w:lang w:eastAsia="zh-CN"/>
        </w:rPr>
        <w:t>网站</w:t>
      </w:r>
      <w:r>
        <w:rPr>
          <w:rFonts w:hint="eastAsia" w:ascii="Nimbus Roman No9 L" w:hAnsi="Nimbus Roman No9 L" w:eastAsia="仿宋_GB2312" w:cs="仿宋_GB2312"/>
          <w:b w:val="0"/>
          <w:bCs w:val="0"/>
          <w:snapToGrid w:val="0"/>
          <w:color w:val="auto"/>
          <w:sz w:val="32"/>
          <w:szCs w:val="32"/>
          <w:highlight w:val="none"/>
          <w:lang w:val="en-US" w:eastAsia="zh-CN"/>
        </w:rPr>
        <w:t>（https://www.forestry.gov.cn）进行查询。</w:t>
      </w:r>
    </w:p>
    <w:p w14:paraId="208FBA51">
      <w:pPr>
        <w:pStyle w:val="7"/>
        <w:keepNext w:val="0"/>
        <w:keepLines w:val="0"/>
        <w:pageBreakBefore w:val="0"/>
        <w:widowControl w:val="0"/>
        <w:kinsoku/>
        <w:wordWrap/>
        <w:overflowPunct/>
        <w:topLinePunct w:val="0"/>
        <w:autoSpaceDE/>
        <w:autoSpaceDN/>
        <w:bidi w:val="0"/>
        <w:adjustRightInd w:val="0"/>
        <w:snapToGrid/>
        <w:spacing w:before="0" w:beforeAutospacing="0" w:after="0" w:afterAutospacing="0" w:line="560" w:lineRule="exact"/>
        <w:jc w:val="left"/>
        <w:textAlignment w:val="auto"/>
        <w:rPr>
          <w:rFonts w:hint="eastAsia" w:ascii="Nimbus Roman No9 L" w:hAnsi="Nimbus Roman No9 L" w:eastAsia="仿宋_GB2312" w:cs="仿宋_GB2312"/>
          <w:b w:val="0"/>
          <w:bCs w:val="0"/>
          <w:snapToGrid w:val="0"/>
          <w:color w:val="auto"/>
          <w:sz w:val="32"/>
          <w:szCs w:val="32"/>
          <w:highlight w:val="none"/>
        </w:rPr>
      </w:pPr>
      <w:r>
        <w:rPr>
          <w:rFonts w:hint="eastAsia" w:ascii="Nimbus Roman No9 L" w:hAnsi="Nimbus Roman No9 L" w:eastAsia="仿宋_GB2312" w:cs="仿宋_GB2312"/>
          <w:b w:val="0"/>
          <w:bCs w:val="0"/>
          <w:snapToGrid w:val="0"/>
          <w:color w:val="auto"/>
          <w:sz w:val="32"/>
          <w:szCs w:val="32"/>
          <w:highlight w:val="none"/>
          <w:lang w:val="en-US" w:eastAsia="zh-CN"/>
        </w:rPr>
        <w:t xml:space="preserve">    </w:t>
      </w:r>
      <w:r>
        <w:rPr>
          <w:rFonts w:hint="eastAsia" w:ascii="Nimbus Roman No9 L" w:hAnsi="Nimbus Roman No9 L" w:eastAsia="仿宋_GB2312" w:cs="仿宋_GB2312"/>
          <w:b w:val="0"/>
          <w:bCs w:val="0"/>
          <w:snapToGrid w:val="0"/>
          <w:color w:val="auto"/>
          <w:sz w:val="32"/>
          <w:szCs w:val="32"/>
          <w:highlight w:val="none"/>
          <w:lang w:eastAsia="zh-CN"/>
        </w:rPr>
        <w:t>企业需要扫描上传集成电路布图设计专有权</w:t>
      </w:r>
      <w:r>
        <w:rPr>
          <w:rFonts w:hint="default" w:ascii="Nimbus Roman No9 L" w:hAnsi="Nimbus Roman No9 L" w:eastAsia="仿宋_GB2312" w:cs="仿宋_GB2312"/>
          <w:b w:val="0"/>
          <w:bCs w:val="0"/>
          <w:snapToGrid w:val="0"/>
          <w:color w:val="auto"/>
          <w:sz w:val="32"/>
          <w:szCs w:val="32"/>
          <w:highlight w:val="none"/>
          <w:lang w:eastAsia="zh-CN"/>
        </w:rPr>
        <w:t>，</w:t>
      </w:r>
      <w:r>
        <w:rPr>
          <w:rFonts w:hint="eastAsia" w:ascii="Nimbus Roman No9 L" w:hAnsi="Nimbus Roman No9 L" w:eastAsia="仿宋_GB2312" w:cs="仿宋_GB2312"/>
          <w:b w:val="0"/>
          <w:bCs w:val="0"/>
          <w:snapToGrid w:val="0"/>
          <w:color w:val="auto"/>
          <w:sz w:val="32"/>
          <w:szCs w:val="32"/>
          <w:highlight w:val="none"/>
          <w:lang w:eastAsia="zh-CN"/>
        </w:rPr>
        <w:t>国家新药、国家一级中药保护品种、Ⅲ类医疗器械注册</w:t>
      </w:r>
      <w:r>
        <w:rPr>
          <w:rFonts w:hint="default" w:ascii="Nimbus Roman No9 L" w:hAnsi="Nimbus Roman No9 L" w:eastAsia="仿宋_GB2312" w:cs="仿宋_GB2312"/>
          <w:b w:val="0"/>
          <w:bCs w:val="0"/>
          <w:snapToGrid w:val="0"/>
          <w:color w:val="auto"/>
          <w:sz w:val="32"/>
          <w:szCs w:val="32"/>
          <w:highlight w:val="none"/>
          <w:lang w:eastAsia="zh-CN"/>
        </w:rPr>
        <w:t>，</w:t>
      </w:r>
      <w:r>
        <w:rPr>
          <w:rFonts w:hint="eastAsia" w:ascii="Nimbus Roman No9 L" w:hAnsi="Nimbus Roman No9 L" w:eastAsia="仿宋_GB2312" w:cs="仿宋_GB2312"/>
          <w:b w:val="0"/>
          <w:bCs w:val="0"/>
          <w:snapToGrid w:val="0"/>
          <w:color w:val="auto"/>
          <w:sz w:val="32"/>
          <w:szCs w:val="32"/>
          <w:highlight w:val="none"/>
          <w:lang w:val="en-US" w:eastAsia="zh-CN"/>
        </w:rPr>
        <w:t>新兽药注册证书</w:t>
      </w:r>
      <w:r>
        <w:rPr>
          <w:rFonts w:hint="default" w:ascii="Nimbus Roman No9 L" w:hAnsi="Nimbus Roman No9 L" w:eastAsia="仿宋_GB2312" w:cs="仿宋_GB2312"/>
          <w:b w:val="0"/>
          <w:bCs w:val="0"/>
          <w:snapToGrid w:val="0"/>
          <w:color w:val="auto"/>
          <w:sz w:val="32"/>
          <w:szCs w:val="32"/>
          <w:highlight w:val="none"/>
          <w:lang w:eastAsia="zh-CN"/>
        </w:rPr>
        <w:t>，</w:t>
      </w:r>
      <w:r>
        <w:rPr>
          <w:rFonts w:hint="eastAsia" w:ascii="Nimbus Roman No9 L" w:hAnsi="Nimbus Roman No9 L" w:eastAsia="仿宋_GB2312" w:cs="仿宋_GB2312"/>
          <w:b w:val="0"/>
          <w:bCs w:val="0"/>
          <w:snapToGrid w:val="0"/>
          <w:color w:val="auto"/>
          <w:sz w:val="32"/>
          <w:szCs w:val="32"/>
          <w:highlight w:val="none"/>
          <w:lang w:eastAsia="zh-CN"/>
        </w:rPr>
        <w:t>国家级水产新品种、</w:t>
      </w:r>
      <w:r>
        <w:rPr>
          <w:rFonts w:hint="eastAsia" w:ascii="Nimbus Roman No9 L" w:hAnsi="Nimbus Roman No9 L" w:eastAsia="仿宋_GB2312" w:cs="仿宋_GB2312"/>
          <w:b w:val="0"/>
          <w:bCs w:val="0"/>
          <w:snapToGrid w:val="0"/>
          <w:color w:val="auto"/>
          <w:sz w:val="32"/>
          <w:szCs w:val="32"/>
          <w:highlight w:val="none"/>
          <w:lang w:val="en-US" w:eastAsia="zh-CN"/>
        </w:rPr>
        <w:t>畜禽新品种</w:t>
      </w:r>
      <w:r>
        <w:rPr>
          <w:rFonts w:hint="default" w:ascii="Nimbus Roman No9 L" w:hAnsi="Nimbus Roman No9 L" w:eastAsia="仿宋_GB2312" w:cs="仿宋_GB2312"/>
          <w:b w:val="0"/>
          <w:bCs w:val="0"/>
          <w:snapToGrid w:val="0"/>
          <w:color w:val="auto"/>
          <w:sz w:val="32"/>
          <w:szCs w:val="32"/>
          <w:highlight w:val="none"/>
          <w:lang w:eastAsia="zh-CN"/>
        </w:rPr>
        <w:t>（配套系）</w:t>
      </w:r>
      <w:r>
        <w:rPr>
          <w:rFonts w:hint="eastAsia" w:ascii="Nimbus Roman No9 L" w:hAnsi="Nimbus Roman No9 L" w:eastAsia="仿宋_GB2312" w:cs="仿宋_GB2312"/>
          <w:b w:val="0"/>
          <w:bCs w:val="0"/>
          <w:snapToGrid w:val="0"/>
          <w:color w:val="auto"/>
          <w:sz w:val="32"/>
          <w:szCs w:val="32"/>
          <w:highlight w:val="none"/>
          <w:lang w:val="en" w:eastAsia="zh-CN"/>
        </w:rPr>
        <w:t>、</w:t>
      </w:r>
      <w:r>
        <w:rPr>
          <w:rFonts w:hint="eastAsia" w:ascii="Nimbus Roman No9 L" w:hAnsi="Nimbus Roman No9 L" w:eastAsia="仿宋_GB2312" w:cs="仿宋_GB2312"/>
          <w:b w:val="0"/>
          <w:bCs w:val="0"/>
          <w:snapToGrid w:val="0"/>
          <w:color w:val="auto"/>
          <w:sz w:val="32"/>
          <w:szCs w:val="32"/>
          <w:highlight w:val="none"/>
          <w:lang w:eastAsia="zh-CN"/>
        </w:rPr>
        <w:t>植物新品种权、国家级农作物品种、</w:t>
      </w:r>
      <w:r>
        <w:rPr>
          <w:rFonts w:hint="eastAsia" w:ascii="Nimbus Roman No9 L" w:hAnsi="Nimbus Roman No9 L" w:eastAsia="仿宋_GB2312" w:cs="仿宋_GB2312"/>
          <w:b w:val="0"/>
          <w:bCs w:val="0"/>
          <w:snapToGrid w:val="0"/>
          <w:color w:val="auto"/>
          <w:sz w:val="32"/>
          <w:szCs w:val="32"/>
          <w:highlight w:val="none"/>
          <w:lang w:val="en-US" w:eastAsia="zh-CN"/>
        </w:rPr>
        <w:t>林草良种</w:t>
      </w:r>
      <w:r>
        <w:rPr>
          <w:rFonts w:hint="eastAsia" w:ascii="Nimbus Roman No9 L" w:hAnsi="Nimbus Roman No9 L" w:eastAsia="仿宋_GB2312" w:cs="仿宋_GB2312"/>
          <w:b w:val="0"/>
          <w:bCs w:val="0"/>
          <w:snapToGrid w:val="0"/>
          <w:color w:val="auto"/>
          <w:sz w:val="32"/>
          <w:szCs w:val="32"/>
          <w:highlight w:val="none"/>
          <w:lang w:eastAsia="zh-CN"/>
        </w:rPr>
        <w:t>等证书或文件。</w:t>
      </w:r>
    </w:p>
    <w:p w14:paraId="18C67BC3">
      <w:pPr>
        <w:pStyle w:val="7"/>
        <w:keepNext w:val="0"/>
        <w:keepLines w:val="0"/>
        <w:pageBreakBefore w:val="0"/>
        <w:widowControl w:val="0"/>
        <w:kinsoku/>
        <w:wordWrap/>
        <w:overflowPunct/>
        <w:topLinePunct w:val="0"/>
        <w:autoSpaceDE/>
        <w:autoSpaceDN/>
        <w:bidi w:val="0"/>
        <w:adjustRightInd w:val="0"/>
        <w:snapToGrid/>
        <w:spacing w:before="0" w:beforeAutospacing="0" w:after="0" w:afterAutospacing="0" w:line="560" w:lineRule="exact"/>
        <w:ind w:firstLine="640" w:firstLineChars="200"/>
        <w:jc w:val="left"/>
        <w:textAlignment w:val="auto"/>
        <w:rPr>
          <w:rFonts w:hint="eastAsia" w:ascii="Nimbus Roman No9 L" w:hAnsi="Nimbus Roman No9 L" w:eastAsia="仿宋_GB2312" w:cs="仿宋_GB2312"/>
          <w:b w:val="0"/>
          <w:bCs w:val="0"/>
          <w:snapToGrid w:val="0"/>
          <w:color w:val="auto"/>
          <w:sz w:val="32"/>
          <w:szCs w:val="32"/>
          <w:highlight w:val="none"/>
          <w:lang w:eastAsia="zh-CN"/>
        </w:rPr>
      </w:pPr>
      <w:r>
        <w:rPr>
          <w:rFonts w:hint="eastAsia" w:ascii="Nimbus Roman No9 L" w:hAnsi="Nimbus Roman No9 L" w:eastAsia="仿宋_GB2312" w:cs="仿宋_GB2312"/>
          <w:b w:val="0"/>
          <w:bCs w:val="0"/>
          <w:snapToGrid w:val="0"/>
          <w:color w:val="auto"/>
          <w:sz w:val="32"/>
          <w:szCs w:val="32"/>
          <w:highlight w:val="none"/>
          <w:lang w:val="en" w:eastAsia="zh-CN"/>
        </w:rPr>
        <w:t>三</w:t>
      </w:r>
      <w:r>
        <w:rPr>
          <w:rFonts w:hint="eastAsia" w:ascii="Nimbus Roman No9 L" w:hAnsi="Nimbus Roman No9 L" w:eastAsia="仿宋_GB2312" w:cs="仿宋_GB2312"/>
          <w:b w:val="0"/>
          <w:bCs w:val="0"/>
          <w:snapToGrid w:val="0"/>
          <w:color w:val="auto"/>
          <w:sz w:val="32"/>
          <w:szCs w:val="32"/>
          <w:highlight w:val="none"/>
          <w:lang w:val="en-US" w:eastAsia="zh-CN"/>
        </w:rPr>
        <w:t>、</w:t>
      </w:r>
      <w:r>
        <w:rPr>
          <w:rFonts w:hint="eastAsia" w:ascii="Nimbus Roman No9 L" w:hAnsi="Nimbus Roman No9 L" w:eastAsia="仿宋_GB2312" w:cs="仿宋_GB2312"/>
          <w:b w:val="0"/>
          <w:bCs w:val="0"/>
          <w:snapToGrid w:val="0"/>
          <w:color w:val="auto"/>
          <w:sz w:val="32"/>
          <w:szCs w:val="32"/>
          <w:highlight w:val="none"/>
          <w:lang w:eastAsia="zh-CN"/>
        </w:rPr>
        <w:t>国家级</w:t>
      </w:r>
      <w:r>
        <w:rPr>
          <w:rFonts w:hint="eastAsia" w:ascii="Nimbus Roman No9 L" w:hAnsi="Nimbus Roman No9 L" w:eastAsia="仿宋_GB2312" w:cs="仿宋_GB2312"/>
          <w:b w:val="0"/>
          <w:bCs w:val="0"/>
          <w:snapToGrid w:val="0"/>
          <w:color w:val="auto"/>
          <w:sz w:val="32"/>
          <w:szCs w:val="32"/>
          <w:highlight w:val="none"/>
          <w:lang w:val="en" w:eastAsia="zh-CN"/>
        </w:rPr>
        <w:t>科学技术奖励</w:t>
      </w:r>
      <w:r>
        <w:rPr>
          <w:rFonts w:hint="eastAsia" w:ascii="Nimbus Roman No9 L" w:hAnsi="Nimbus Roman No9 L" w:eastAsia="仿宋_GB2312" w:cs="仿宋_GB2312"/>
          <w:b w:val="0"/>
          <w:bCs w:val="0"/>
          <w:snapToGrid w:val="0"/>
          <w:color w:val="auto"/>
          <w:sz w:val="32"/>
          <w:szCs w:val="32"/>
          <w:highlight w:val="none"/>
          <w:lang w:eastAsia="zh-CN"/>
        </w:rPr>
        <w:t>包括国家最高科学技术奖、国家自然科学奖、国家技术发明奖、国家科学技术进步奖和中华人民共和国国际科学技术合作奖，以奖励证书为准。国家级</w:t>
      </w:r>
      <w:r>
        <w:rPr>
          <w:rFonts w:hint="eastAsia" w:ascii="Nimbus Roman No9 L" w:hAnsi="Nimbus Roman No9 L" w:eastAsia="仿宋_GB2312" w:cs="仿宋_GB2312"/>
          <w:b w:val="0"/>
          <w:bCs w:val="0"/>
          <w:snapToGrid w:val="0"/>
          <w:color w:val="auto"/>
          <w:sz w:val="32"/>
          <w:szCs w:val="32"/>
          <w:highlight w:val="none"/>
          <w:lang w:val="en" w:eastAsia="zh-CN"/>
        </w:rPr>
        <w:t>科学技术奖励</w:t>
      </w:r>
      <w:r>
        <w:rPr>
          <w:rFonts w:hint="eastAsia" w:ascii="Nimbus Roman No9 L" w:hAnsi="Nimbus Roman No9 L" w:eastAsia="仿宋_GB2312" w:cs="仿宋_GB2312"/>
          <w:b w:val="0"/>
          <w:bCs w:val="0"/>
          <w:snapToGrid w:val="0"/>
          <w:color w:val="auto"/>
          <w:sz w:val="32"/>
          <w:szCs w:val="32"/>
          <w:highlight w:val="none"/>
          <w:lang w:eastAsia="zh-CN"/>
        </w:rPr>
        <w:t>可在国家科学技术奖励办公室网站（网址：www.nosta.gov.cn）查询。省部级</w:t>
      </w:r>
      <w:r>
        <w:rPr>
          <w:rFonts w:hint="eastAsia" w:ascii="Nimbus Roman No9 L" w:hAnsi="Nimbus Roman No9 L" w:eastAsia="仿宋_GB2312" w:cs="仿宋_GB2312"/>
          <w:b w:val="0"/>
          <w:bCs w:val="0"/>
          <w:snapToGrid w:val="0"/>
          <w:color w:val="auto"/>
          <w:sz w:val="32"/>
          <w:szCs w:val="32"/>
          <w:highlight w:val="none"/>
          <w:lang w:val="en" w:eastAsia="zh-CN"/>
        </w:rPr>
        <w:t>科学技术奖励</w:t>
      </w:r>
      <w:r>
        <w:rPr>
          <w:rFonts w:hint="eastAsia" w:ascii="Nimbus Roman No9 L" w:hAnsi="Nimbus Roman No9 L" w:eastAsia="仿宋_GB2312" w:cs="仿宋_GB2312"/>
          <w:b w:val="0"/>
          <w:bCs w:val="0"/>
          <w:snapToGrid w:val="0"/>
          <w:color w:val="auto"/>
          <w:sz w:val="32"/>
          <w:szCs w:val="32"/>
          <w:highlight w:val="none"/>
          <w:lang w:eastAsia="zh-CN"/>
        </w:rPr>
        <w:t>包括国家各部委和各省、自治区、直辖市人民政府颁发的</w:t>
      </w:r>
      <w:r>
        <w:rPr>
          <w:rFonts w:hint="eastAsia" w:ascii="Nimbus Roman No9 L" w:hAnsi="Nimbus Roman No9 L" w:eastAsia="仿宋_GB2312" w:cs="仿宋_GB2312"/>
          <w:b w:val="0"/>
          <w:bCs w:val="0"/>
          <w:snapToGrid w:val="0"/>
          <w:color w:val="auto"/>
          <w:sz w:val="32"/>
          <w:szCs w:val="32"/>
          <w:highlight w:val="none"/>
          <w:lang w:val="en" w:eastAsia="zh-CN"/>
        </w:rPr>
        <w:t>科学技术奖励。</w:t>
      </w:r>
      <w:r>
        <w:rPr>
          <w:rFonts w:hint="eastAsia" w:ascii="Nimbus Roman No9 L" w:hAnsi="Nimbus Roman No9 L" w:eastAsia="仿宋_GB2312" w:cs="仿宋_GB2312"/>
          <w:b w:val="0"/>
          <w:bCs w:val="0"/>
          <w:snapToGrid w:val="0"/>
          <w:color w:val="auto"/>
          <w:sz w:val="32"/>
          <w:szCs w:val="32"/>
          <w:highlight w:val="none"/>
          <w:lang w:eastAsia="zh-CN"/>
        </w:rPr>
        <w:t>在国家科学技术奖励工作办公室备案的各学术团体、行业协会、企业、基金会及个人等社会力量设立的科学技术奖，</w:t>
      </w:r>
      <w:r>
        <w:rPr>
          <w:rFonts w:hint="eastAsia" w:ascii="Nimbus Roman No9 L" w:hAnsi="Nimbus Roman No9 L" w:eastAsia="仿宋_GB2312" w:cs="仿宋_GB2312"/>
          <w:b w:val="0"/>
          <w:bCs w:val="0"/>
          <w:snapToGrid w:val="0"/>
          <w:color w:val="auto"/>
          <w:sz w:val="32"/>
          <w:szCs w:val="32"/>
          <w:highlight w:val="none"/>
          <w:lang w:val="en" w:eastAsia="zh-CN"/>
        </w:rPr>
        <w:t>按照</w:t>
      </w:r>
      <w:r>
        <w:rPr>
          <w:rFonts w:hint="eastAsia" w:ascii="Nimbus Roman No9 L" w:hAnsi="Nimbus Roman No9 L" w:eastAsia="仿宋_GB2312" w:cs="仿宋_GB2312"/>
          <w:b w:val="0"/>
          <w:bCs w:val="0"/>
          <w:snapToGrid w:val="0"/>
          <w:color w:val="auto"/>
          <w:sz w:val="32"/>
          <w:szCs w:val="32"/>
          <w:highlight w:val="none"/>
          <w:lang w:eastAsia="zh-CN"/>
        </w:rPr>
        <w:t>省部级</w:t>
      </w:r>
      <w:r>
        <w:rPr>
          <w:rFonts w:hint="eastAsia" w:ascii="Nimbus Roman No9 L" w:hAnsi="Nimbus Roman No9 L" w:eastAsia="仿宋_GB2312" w:cs="仿宋_GB2312"/>
          <w:b w:val="0"/>
          <w:bCs w:val="0"/>
          <w:snapToGrid w:val="0"/>
          <w:color w:val="auto"/>
          <w:sz w:val="32"/>
          <w:szCs w:val="32"/>
          <w:highlight w:val="none"/>
          <w:lang w:val="en" w:eastAsia="zh-CN"/>
        </w:rPr>
        <w:t>科学技术奖励进行评价</w:t>
      </w:r>
      <w:r>
        <w:rPr>
          <w:rFonts w:hint="eastAsia" w:ascii="Nimbus Roman No9 L" w:hAnsi="Nimbus Roman No9 L" w:eastAsia="仿宋_GB2312" w:cs="仿宋_GB2312"/>
          <w:b w:val="0"/>
          <w:bCs w:val="0"/>
          <w:snapToGrid w:val="0"/>
          <w:color w:val="auto"/>
          <w:sz w:val="32"/>
          <w:szCs w:val="32"/>
          <w:highlight w:val="none"/>
          <w:lang w:eastAsia="zh-CN"/>
        </w:rPr>
        <w:t>，其中，不设奖励等级的</w:t>
      </w:r>
      <w:r>
        <w:rPr>
          <w:rFonts w:hint="eastAsia" w:ascii="Nimbus Roman No9 L" w:hAnsi="Nimbus Roman No9 L" w:eastAsia="仿宋_GB2312" w:cs="仿宋_GB2312"/>
          <w:b w:val="0"/>
          <w:bCs w:val="0"/>
          <w:snapToGrid w:val="0"/>
          <w:color w:val="auto"/>
          <w:sz w:val="32"/>
          <w:szCs w:val="32"/>
          <w:highlight w:val="none"/>
          <w:lang w:val="en" w:eastAsia="zh-CN"/>
        </w:rPr>
        <w:t>按照</w:t>
      </w:r>
      <w:r>
        <w:rPr>
          <w:rFonts w:hint="eastAsia" w:ascii="Nimbus Roman No9 L" w:hAnsi="Nimbus Roman No9 L" w:eastAsia="仿宋_GB2312" w:cs="仿宋_GB2312"/>
          <w:b w:val="0"/>
          <w:bCs w:val="0"/>
          <w:snapToGrid w:val="0"/>
          <w:color w:val="auto"/>
          <w:sz w:val="32"/>
          <w:szCs w:val="32"/>
          <w:highlight w:val="none"/>
          <w:lang w:eastAsia="zh-CN"/>
        </w:rPr>
        <w:t>省部级一等奖</w:t>
      </w:r>
      <w:r>
        <w:rPr>
          <w:rFonts w:hint="eastAsia" w:ascii="Nimbus Roman No9 L" w:hAnsi="Nimbus Roman No9 L" w:eastAsia="仿宋_GB2312" w:cs="仿宋_GB2312"/>
          <w:b w:val="0"/>
          <w:bCs w:val="0"/>
          <w:snapToGrid w:val="0"/>
          <w:color w:val="auto"/>
          <w:sz w:val="32"/>
          <w:szCs w:val="32"/>
          <w:highlight w:val="none"/>
          <w:lang w:val="en" w:eastAsia="zh-CN"/>
        </w:rPr>
        <w:t>评价</w:t>
      </w:r>
      <w:r>
        <w:rPr>
          <w:rFonts w:hint="eastAsia" w:ascii="Nimbus Roman No9 L" w:hAnsi="Nimbus Roman No9 L" w:eastAsia="仿宋_GB2312" w:cs="仿宋_GB2312"/>
          <w:b w:val="0"/>
          <w:bCs w:val="0"/>
          <w:snapToGrid w:val="0"/>
          <w:color w:val="auto"/>
          <w:sz w:val="32"/>
          <w:szCs w:val="32"/>
          <w:highlight w:val="none"/>
          <w:lang w:eastAsia="zh-CN"/>
        </w:rPr>
        <w:t>。企业应扫描上传证书、文件等作为证明材料。</w:t>
      </w:r>
    </w:p>
    <w:p w14:paraId="0DF14836">
      <w:pPr>
        <w:pStyle w:val="7"/>
        <w:keepNext w:val="0"/>
        <w:keepLines w:val="0"/>
        <w:pageBreakBefore w:val="0"/>
        <w:widowControl w:val="0"/>
        <w:kinsoku/>
        <w:wordWrap/>
        <w:overflowPunct/>
        <w:topLinePunct w:val="0"/>
        <w:autoSpaceDE/>
        <w:autoSpaceDN/>
        <w:bidi w:val="0"/>
        <w:adjustRightInd w:val="0"/>
        <w:snapToGrid/>
        <w:spacing w:before="0" w:beforeAutospacing="0" w:after="0" w:afterAutospacing="0" w:line="560" w:lineRule="exact"/>
        <w:ind w:firstLine="640" w:firstLineChars="200"/>
        <w:jc w:val="left"/>
        <w:textAlignment w:val="auto"/>
        <w:outlineLvl w:val="2"/>
        <w:rPr>
          <w:rFonts w:hint="eastAsia" w:ascii="Nimbus Roman No9 L" w:hAnsi="Nimbus Roman No9 L" w:eastAsia="仿宋_GB2312" w:cs="仿宋_GB2312"/>
          <w:b w:val="0"/>
          <w:bCs w:val="0"/>
          <w:snapToGrid w:val="0"/>
          <w:color w:val="auto"/>
          <w:sz w:val="32"/>
          <w:szCs w:val="32"/>
          <w:highlight w:val="none"/>
          <w:lang w:eastAsia="zh-CN"/>
        </w:rPr>
      </w:pPr>
      <w:r>
        <w:rPr>
          <w:rFonts w:hint="eastAsia" w:ascii="Nimbus Roman No9 L" w:hAnsi="Nimbus Roman No9 L" w:eastAsia="仿宋_GB2312" w:cs="仿宋_GB2312"/>
          <w:b w:val="0"/>
          <w:bCs w:val="0"/>
          <w:snapToGrid w:val="0"/>
          <w:color w:val="auto"/>
          <w:sz w:val="32"/>
          <w:szCs w:val="32"/>
          <w:highlight w:val="none"/>
          <w:lang w:val="en" w:eastAsia="zh-CN"/>
        </w:rPr>
        <w:t>四</w:t>
      </w:r>
      <w:r>
        <w:rPr>
          <w:rFonts w:hint="eastAsia" w:ascii="Nimbus Roman No9 L" w:hAnsi="Nimbus Roman No9 L" w:eastAsia="仿宋_GB2312" w:cs="仿宋_GB2312"/>
          <w:b w:val="0"/>
          <w:bCs w:val="0"/>
          <w:snapToGrid w:val="0"/>
          <w:color w:val="auto"/>
          <w:sz w:val="32"/>
          <w:szCs w:val="32"/>
          <w:highlight w:val="none"/>
          <w:lang w:val="en-US" w:eastAsia="zh-CN"/>
        </w:rPr>
        <w:t>、</w:t>
      </w:r>
      <w:r>
        <w:rPr>
          <w:rFonts w:hint="eastAsia" w:ascii="Nimbus Roman No9 L" w:hAnsi="Nimbus Roman No9 L" w:eastAsia="仿宋_GB2312" w:cs="仿宋_GB2312"/>
          <w:b w:val="0"/>
          <w:bCs w:val="0"/>
          <w:snapToGrid w:val="0"/>
          <w:color w:val="auto"/>
          <w:sz w:val="32"/>
          <w:szCs w:val="32"/>
          <w:highlight w:val="none"/>
          <w:lang w:eastAsia="zh-CN"/>
        </w:rPr>
        <w:t>国家级创新创业大赛指大赛的牵头组织部门为国家部（委）等，省级创新创业大赛指大赛的牵头组织部门为各省、直辖市、自治区的委（办、局）等。企业需在“评价服务系统”上填写大赛的具体的牵头组织部门或单位（指实体的部门、单位或机构名称，不是填写大赛组委会名称），并扫描上传由大赛牵头组织部门</w:t>
      </w:r>
      <w:r>
        <w:rPr>
          <w:rFonts w:hint="eastAsia" w:ascii="Nimbus Roman No9 L" w:hAnsi="Nimbus Roman No9 L" w:eastAsia="仿宋_GB2312" w:cs="仿宋_GB2312"/>
          <w:b w:val="0"/>
          <w:bCs w:val="0"/>
          <w:snapToGrid w:val="0"/>
          <w:color w:val="auto"/>
          <w:sz w:val="32"/>
          <w:szCs w:val="32"/>
          <w:highlight w:val="none"/>
          <w:lang w:val="en" w:eastAsia="zh-CN"/>
        </w:rPr>
        <w:t>印发</w:t>
      </w:r>
      <w:r>
        <w:rPr>
          <w:rFonts w:hint="eastAsia" w:ascii="Nimbus Roman No9 L" w:hAnsi="Nimbus Roman No9 L" w:eastAsia="仿宋_GB2312" w:cs="仿宋_GB2312"/>
          <w:b w:val="0"/>
          <w:bCs w:val="0"/>
          <w:snapToGrid w:val="0"/>
          <w:color w:val="auto"/>
          <w:sz w:val="32"/>
          <w:szCs w:val="32"/>
          <w:highlight w:val="none"/>
          <w:lang w:eastAsia="zh-CN"/>
        </w:rPr>
        <w:t>的获奖证书。</w:t>
      </w:r>
    </w:p>
    <w:p w14:paraId="28DD928B">
      <w:pPr>
        <w:pStyle w:val="7"/>
        <w:keepNext w:val="0"/>
        <w:keepLines w:val="0"/>
        <w:pageBreakBefore w:val="0"/>
        <w:widowControl w:val="0"/>
        <w:kinsoku/>
        <w:wordWrap/>
        <w:overflowPunct/>
        <w:topLinePunct w:val="0"/>
        <w:autoSpaceDE/>
        <w:autoSpaceDN/>
        <w:bidi w:val="0"/>
        <w:adjustRightInd w:val="0"/>
        <w:snapToGrid/>
        <w:spacing w:before="0" w:beforeAutospacing="0" w:after="0" w:afterAutospacing="0" w:line="560" w:lineRule="exact"/>
        <w:ind w:firstLine="640" w:firstLineChars="200"/>
        <w:jc w:val="left"/>
        <w:textAlignment w:val="auto"/>
        <w:rPr>
          <w:rFonts w:hint="eastAsia" w:ascii="Nimbus Roman No9 L" w:hAnsi="Nimbus Roman No9 L" w:eastAsia="仿宋_GB2312" w:cs="仿宋_GB2312"/>
          <w:b w:val="0"/>
          <w:bCs w:val="0"/>
          <w:snapToGrid w:val="0"/>
          <w:color w:val="auto"/>
          <w:sz w:val="32"/>
          <w:szCs w:val="32"/>
          <w:highlight w:val="none"/>
          <w:lang w:eastAsia="zh-CN"/>
        </w:rPr>
      </w:pPr>
      <w:r>
        <w:rPr>
          <w:rFonts w:hint="eastAsia" w:ascii="Nimbus Roman No9 L" w:hAnsi="Nimbus Roman No9 L" w:eastAsia="仿宋_GB2312" w:cs="仿宋_GB2312"/>
          <w:b w:val="0"/>
          <w:bCs w:val="0"/>
          <w:snapToGrid w:val="0"/>
          <w:color w:val="auto"/>
          <w:sz w:val="32"/>
          <w:szCs w:val="32"/>
          <w:highlight w:val="none"/>
          <w:lang w:val="en-US" w:eastAsia="zh-CN"/>
        </w:rPr>
        <w:t>五、</w:t>
      </w:r>
      <w:r>
        <w:rPr>
          <w:rFonts w:hint="eastAsia" w:ascii="Nimbus Roman No9 L" w:hAnsi="Nimbus Roman No9 L" w:eastAsia="仿宋_GB2312" w:cs="仿宋_GB2312"/>
          <w:b w:val="0"/>
          <w:bCs w:val="0"/>
          <w:snapToGrid w:val="0"/>
          <w:color w:val="auto"/>
          <w:sz w:val="32"/>
          <w:szCs w:val="32"/>
          <w:highlight w:val="none"/>
          <w:lang w:val="en" w:eastAsia="zh-CN"/>
        </w:rPr>
        <w:t>科技创新平台基地</w:t>
      </w:r>
      <w:r>
        <w:rPr>
          <w:rFonts w:hint="eastAsia" w:ascii="Nimbus Roman No9 L" w:hAnsi="Nimbus Roman No9 L" w:eastAsia="仿宋_GB2312" w:cs="仿宋_GB2312"/>
          <w:b w:val="0"/>
          <w:bCs w:val="0"/>
          <w:snapToGrid w:val="0"/>
          <w:color w:val="auto"/>
          <w:spacing w:val="0"/>
          <w:kern w:val="0"/>
          <w:sz w:val="32"/>
          <w:szCs w:val="32"/>
          <w:highlight w:val="none"/>
          <w:lang w:val="en-US" w:eastAsia="zh-CN" w:bidi="ar-SA"/>
        </w:rPr>
        <w:t>包括重点实验室、产业创新中心、制造业创新中心、技术创新中心、临床医学研究中心、</w:t>
      </w:r>
      <w:r>
        <w:rPr>
          <w:rFonts w:hint="default" w:ascii="Nimbus Roman No9 L" w:hAnsi="Nimbus Roman No9 L" w:eastAsia="仿宋_GB2312" w:cs="仿宋_GB2312"/>
          <w:b w:val="0"/>
          <w:bCs w:val="0"/>
          <w:snapToGrid w:val="0"/>
          <w:color w:val="auto"/>
          <w:spacing w:val="0"/>
          <w:kern w:val="0"/>
          <w:sz w:val="32"/>
          <w:szCs w:val="32"/>
          <w:highlight w:val="none"/>
          <w:lang w:val="en" w:eastAsia="zh-CN" w:bidi="ar-SA"/>
        </w:rPr>
        <w:t>产业</w:t>
      </w:r>
      <w:r>
        <w:rPr>
          <w:rFonts w:hint="eastAsia" w:ascii="Nimbus Roman No9 L" w:hAnsi="Nimbus Roman No9 L" w:eastAsia="仿宋_GB2312" w:cs="仿宋_GB2312"/>
          <w:b w:val="0"/>
          <w:bCs w:val="0"/>
          <w:snapToGrid w:val="0"/>
          <w:color w:val="auto"/>
          <w:spacing w:val="0"/>
          <w:kern w:val="0"/>
          <w:sz w:val="32"/>
          <w:szCs w:val="32"/>
          <w:highlight w:val="none"/>
          <w:lang w:val="en-US" w:eastAsia="zh-CN" w:bidi="ar-SA"/>
        </w:rPr>
        <w:t>技术工程化中心、重大科技基础设施、科技资源共享服务平台、野外科学观测研究站、企业技术中心、工程研究中心、国际科技合作基地、科技型企业孵化器</w:t>
      </w:r>
      <w:r>
        <w:rPr>
          <w:rFonts w:hint="eastAsia" w:ascii="Nimbus Roman No9 L" w:hAnsi="Nimbus Roman No9 L" w:eastAsia="仿宋_GB2312" w:cs="仿宋_GB2312"/>
          <w:b w:val="0"/>
          <w:bCs w:val="0"/>
          <w:snapToGrid w:val="0"/>
          <w:color w:val="auto"/>
          <w:spacing w:val="0"/>
          <w:kern w:val="0"/>
          <w:sz w:val="32"/>
          <w:szCs w:val="32"/>
          <w:highlight w:val="none"/>
          <w:lang w:eastAsia="zh-CN" w:bidi="ar-SA"/>
        </w:rPr>
        <w:t>等。</w:t>
      </w:r>
      <w:r>
        <w:rPr>
          <w:rFonts w:hint="eastAsia" w:ascii="Nimbus Roman No9 L" w:hAnsi="Nimbus Roman No9 L" w:eastAsia="仿宋_GB2312" w:cs="仿宋_GB2312"/>
          <w:b w:val="0"/>
          <w:bCs w:val="0"/>
          <w:snapToGrid w:val="0"/>
          <w:color w:val="auto"/>
          <w:sz w:val="32"/>
          <w:szCs w:val="32"/>
          <w:highlight w:val="none"/>
          <w:lang w:eastAsia="zh-CN"/>
        </w:rPr>
        <w:t>企业应扫描上传证书、文件等作为证明材料。</w:t>
      </w:r>
    </w:p>
    <w:p w14:paraId="298CFA9D">
      <w:pPr>
        <w:pStyle w:val="7"/>
        <w:keepNext w:val="0"/>
        <w:keepLines w:val="0"/>
        <w:pageBreakBefore w:val="0"/>
        <w:widowControl w:val="0"/>
        <w:kinsoku/>
        <w:wordWrap/>
        <w:overflowPunct/>
        <w:topLinePunct w:val="0"/>
        <w:autoSpaceDE/>
        <w:autoSpaceDN/>
        <w:bidi w:val="0"/>
        <w:adjustRightInd w:val="0"/>
        <w:snapToGrid/>
        <w:spacing w:before="0" w:beforeAutospacing="0" w:after="0" w:afterAutospacing="0" w:line="560" w:lineRule="exact"/>
        <w:ind w:firstLine="640" w:firstLineChars="200"/>
        <w:jc w:val="left"/>
        <w:textAlignment w:val="auto"/>
        <w:rPr>
          <w:rFonts w:hint="eastAsia" w:ascii="Nimbus Roman No9 L" w:hAnsi="Nimbus Roman No9 L" w:eastAsia="仿宋_GB2312" w:cs="仿宋_GB2312"/>
          <w:b w:val="0"/>
          <w:bCs w:val="0"/>
          <w:snapToGrid w:val="0"/>
          <w:color w:val="auto"/>
          <w:sz w:val="32"/>
          <w:szCs w:val="32"/>
          <w:highlight w:val="none"/>
          <w:lang w:eastAsia="zh-CN"/>
        </w:rPr>
      </w:pPr>
      <w:r>
        <w:rPr>
          <w:rFonts w:hint="eastAsia" w:ascii="Nimbus Roman No9 L" w:hAnsi="Nimbus Roman No9 L" w:eastAsia="仿宋_GB2312" w:cs="仿宋_GB2312"/>
          <w:b w:val="0"/>
          <w:bCs w:val="0"/>
          <w:snapToGrid w:val="0"/>
          <w:color w:val="auto"/>
          <w:sz w:val="32"/>
          <w:szCs w:val="32"/>
          <w:highlight w:val="none"/>
          <w:lang w:val="en-US" w:eastAsia="zh-CN"/>
        </w:rPr>
        <w:t>六、</w:t>
      </w:r>
      <w:r>
        <w:rPr>
          <w:rFonts w:hint="eastAsia" w:ascii="Nimbus Roman No9 L" w:hAnsi="Nimbus Roman No9 L" w:eastAsia="仿宋_GB2312" w:cs="仿宋_GB2312"/>
          <w:b w:val="0"/>
          <w:bCs w:val="0"/>
          <w:snapToGrid w:val="0"/>
          <w:color w:val="auto"/>
          <w:sz w:val="32"/>
          <w:szCs w:val="32"/>
          <w:highlight w:val="none"/>
          <w:lang w:eastAsia="zh-CN"/>
        </w:rPr>
        <w:t>企业参与制定的国际标准、国家标准、行业标准、地方标准或企业标准，应出具相关标准文本或证明材料。国际标准应是全国标准信息公共服务平台（std.</w:t>
      </w:r>
      <w:r>
        <w:rPr>
          <w:rFonts w:hint="eastAsia" w:ascii="Nimbus Roman No9 L" w:hAnsi="Nimbus Roman No9 L" w:eastAsia="仿宋_GB2312" w:cs="仿宋_GB2312"/>
          <w:b w:val="0"/>
          <w:bCs w:val="0"/>
          <w:snapToGrid w:val="0"/>
          <w:color w:val="auto"/>
          <w:sz w:val="32"/>
          <w:szCs w:val="32"/>
          <w:highlight w:val="none"/>
          <w:lang w:val="en" w:eastAsia="zh-CN"/>
        </w:rPr>
        <w:t>samr.</w:t>
      </w:r>
      <w:r>
        <w:rPr>
          <w:rFonts w:hint="eastAsia" w:ascii="Nimbus Roman No9 L" w:hAnsi="Nimbus Roman No9 L" w:eastAsia="仿宋_GB2312" w:cs="仿宋_GB2312"/>
          <w:b w:val="0"/>
          <w:bCs w:val="0"/>
          <w:snapToGrid w:val="0"/>
          <w:color w:val="auto"/>
          <w:sz w:val="32"/>
          <w:szCs w:val="32"/>
          <w:highlight w:val="none"/>
          <w:lang w:eastAsia="zh-CN"/>
        </w:rPr>
        <w:t>gov.cn）公布的国际标准化机构制定的标准。国家标准、行业标准、地方标准或企业标准以全国标准信息公共服务平台</w:t>
      </w:r>
      <w:r>
        <w:rPr>
          <w:rFonts w:hint="eastAsia" w:ascii="Nimbus Roman No9 L" w:hAnsi="Nimbus Roman No9 L" w:eastAsia="仿宋_GB2312" w:cs="仿宋_GB2312"/>
          <w:b w:val="0"/>
          <w:bCs w:val="0"/>
          <w:snapToGrid w:val="0"/>
          <w:color w:val="auto"/>
          <w:sz w:val="32"/>
          <w:szCs w:val="32"/>
          <w:highlight w:val="none"/>
          <w:lang w:eastAsia="zh-CN"/>
        </w:rPr>
        <w:fldChar w:fldCharType="begin"/>
      </w:r>
      <w:r>
        <w:rPr>
          <w:rFonts w:hint="eastAsia" w:ascii="Nimbus Roman No9 L" w:hAnsi="Nimbus Roman No9 L" w:eastAsia="仿宋_GB2312" w:cs="仿宋_GB2312"/>
          <w:b w:val="0"/>
          <w:bCs w:val="0"/>
          <w:snapToGrid w:val="0"/>
          <w:color w:val="auto"/>
          <w:sz w:val="32"/>
          <w:szCs w:val="32"/>
          <w:highlight w:val="none"/>
          <w:lang w:eastAsia="zh-CN"/>
        </w:rPr>
        <w:instrText xml:space="preserve"> HYPERLINK "http://www.std.gov.cn）已经发布的国家标准为准。企业应扫描上传证书、文件等作为证明材料（原件或复印件均需首页盖企业公章，其它页骑缝章扫描上传）。"</w:instrText>
      </w:r>
      <w:r>
        <w:rPr>
          <w:rFonts w:hint="eastAsia" w:ascii="Nimbus Roman No9 L" w:hAnsi="Nimbus Roman No9 L" w:eastAsia="仿宋_GB2312" w:cs="仿宋_GB2312"/>
          <w:b w:val="0"/>
          <w:bCs w:val="0"/>
          <w:snapToGrid w:val="0"/>
          <w:color w:val="auto"/>
          <w:sz w:val="32"/>
          <w:szCs w:val="32"/>
          <w:highlight w:val="none"/>
          <w:lang w:eastAsia="zh-CN"/>
        </w:rPr>
        <w:fldChar w:fldCharType="separate"/>
      </w:r>
      <w:r>
        <w:rPr>
          <w:rFonts w:hint="eastAsia" w:ascii="Nimbus Roman No9 L" w:hAnsi="Nimbus Roman No9 L" w:eastAsia="仿宋_GB2312" w:cs="仿宋_GB2312"/>
          <w:b w:val="0"/>
          <w:bCs w:val="0"/>
          <w:snapToGrid w:val="0"/>
          <w:color w:val="auto"/>
          <w:sz w:val="32"/>
          <w:szCs w:val="32"/>
          <w:highlight w:val="none"/>
          <w:lang w:eastAsia="zh-CN"/>
        </w:rPr>
        <w:t>已经发布、公开的标准为准。</w:t>
      </w:r>
    </w:p>
    <w:p w14:paraId="733BB497">
      <w:pPr>
        <w:pStyle w:val="7"/>
        <w:keepNext w:val="0"/>
        <w:keepLines w:val="0"/>
        <w:pageBreakBefore w:val="0"/>
        <w:widowControl w:val="0"/>
        <w:kinsoku/>
        <w:wordWrap/>
        <w:overflowPunct/>
        <w:topLinePunct w:val="0"/>
        <w:autoSpaceDE/>
        <w:autoSpaceDN/>
        <w:bidi w:val="0"/>
        <w:adjustRightInd w:val="0"/>
        <w:snapToGrid/>
        <w:spacing w:before="0" w:beforeAutospacing="0" w:after="0" w:afterAutospacing="0" w:line="560" w:lineRule="exact"/>
        <w:ind w:firstLine="640" w:firstLineChars="200"/>
        <w:jc w:val="left"/>
        <w:textAlignment w:val="auto"/>
        <w:rPr>
          <w:rFonts w:hint="eastAsia" w:ascii="Nimbus Roman No9 L" w:hAnsi="Nimbus Roman No9 L" w:eastAsia="仿宋_GB2312" w:cs="仿宋_GB2312"/>
          <w:b w:val="0"/>
          <w:bCs w:val="0"/>
          <w:snapToGrid w:val="0"/>
          <w:color w:val="auto"/>
          <w:sz w:val="32"/>
          <w:szCs w:val="32"/>
          <w:highlight w:val="none"/>
          <w:lang w:eastAsia="zh-CN"/>
        </w:rPr>
      </w:pPr>
      <w:r>
        <w:rPr>
          <w:rFonts w:hint="eastAsia" w:ascii="Nimbus Roman No9 L" w:hAnsi="Nimbus Roman No9 L" w:eastAsia="仿宋_GB2312" w:cs="仿宋_GB2312"/>
          <w:b w:val="0"/>
          <w:bCs w:val="0"/>
          <w:snapToGrid w:val="0"/>
          <w:color w:val="auto"/>
          <w:sz w:val="32"/>
          <w:szCs w:val="32"/>
          <w:highlight w:val="none"/>
          <w:lang w:eastAsia="zh-CN"/>
        </w:rPr>
        <w:t>企业应扫描上传证书、文件等作为证明材料。</w:t>
      </w:r>
      <w:r>
        <w:rPr>
          <w:rFonts w:hint="eastAsia" w:ascii="Nimbus Roman No9 L" w:hAnsi="Nimbus Roman No9 L" w:eastAsia="仿宋_GB2312" w:cs="仿宋_GB2312"/>
          <w:b w:val="0"/>
          <w:bCs w:val="0"/>
          <w:snapToGrid w:val="0"/>
          <w:color w:val="auto"/>
          <w:sz w:val="32"/>
          <w:szCs w:val="32"/>
          <w:highlight w:val="none"/>
          <w:lang w:eastAsia="zh-CN"/>
        </w:rPr>
        <w:fldChar w:fldCharType="end"/>
      </w:r>
      <w:r>
        <w:rPr>
          <w:rFonts w:hint="eastAsia" w:ascii="Nimbus Roman No9 L" w:hAnsi="Nimbus Roman No9 L" w:eastAsia="仿宋_GB2312" w:cs="仿宋_GB2312"/>
          <w:b w:val="0"/>
          <w:bCs w:val="0"/>
          <w:snapToGrid w:val="0"/>
          <w:color w:val="auto"/>
          <w:sz w:val="32"/>
          <w:szCs w:val="32"/>
          <w:highlight w:val="none"/>
          <w:lang w:eastAsia="zh-CN"/>
        </w:rPr>
        <w:t>其中，行业标准（hbba.sacinfo.org.cn/）和企业标准（www.</w:t>
      </w:r>
      <w:r>
        <w:rPr>
          <w:rFonts w:hint="eastAsia" w:ascii="Nimbus Roman No9 L" w:hAnsi="Nimbus Roman No9 L" w:eastAsia="仿宋_GB2312" w:cs="仿宋_GB2312"/>
          <w:b w:val="0"/>
          <w:bCs w:val="0"/>
          <w:snapToGrid w:val="0"/>
          <w:color w:val="auto"/>
          <w:sz w:val="32"/>
          <w:szCs w:val="32"/>
          <w:highlight w:val="none"/>
          <w:lang w:val="en" w:eastAsia="zh-CN"/>
        </w:rPr>
        <w:t>qy</w:t>
      </w:r>
      <w:r>
        <w:rPr>
          <w:rFonts w:hint="eastAsia" w:ascii="Nimbus Roman No9 L" w:hAnsi="Nimbus Roman No9 L" w:eastAsia="仿宋_GB2312" w:cs="仿宋_GB2312"/>
          <w:b w:val="0"/>
          <w:bCs w:val="0"/>
          <w:snapToGrid w:val="0"/>
          <w:color w:val="auto"/>
          <w:sz w:val="32"/>
          <w:szCs w:val="32"/>
          <w:highlight w:val="none"/>
          <w:lang w:eastAsia="zh-CN"/>
        </w:rPr>
        <w:t>bz.</w:t>
      </w:r>
      <w:r>
        <w:rPr>
          <w:rFonts w:hint="eastAsia" w:ascii="Nimbus Roman No9 L" w:hAnsi="Nimbus Roman No9 L" w:eastAsia="仿宋_GB2312" w:cs="仿宋_GB2312"/>
          <w:b w:val="0"/>
          <w:bCs w:val="0"/>
          <w:snapToGrid w:val="0"/>
          <w:color w:val="auto"/>
          <w:sz w:val="32"/>
          <w:szCs w:val="32"/>
          <w:highlight w:val="none"/>
          <w:lang w:val="en" w:eastAsia="zh-CN"/>
        </w:rPr>
        <w:t>org.cn</w:t>
      </w:r>
      <w:r>
        <w:rPr>
          <w:rFonts w:hint="eastAsia" w:ascii="Nimbus Roman No9 L" w:hAnsi="Nimbus Roman No9 L" w:eastAsia="仿宋_GB2312" w:cs="仿宋_GB2312"/>
          <w:b w:val="0"/>
          <w:bCs w:val="0"/>
          <w:snapToGrid w:val="0"/>
          <w:color w:val="auto"/>
          <w:sz w:val="32"/>
          <w:szCs w:val="32"/>
          <w:highlight w:val="none"/>
          <w:lang w:eastAsia="zh-CN"/>
        </w:rPr>
        <w:t>/）可通过网址查询并下载相应的</w:t>
      </w:r>
      <w:r>
        <w:rPr>
          <w:rFonts w:hint="eastAsia" w:ascii="Nimbus Roman No9 L" w:hAnsi="Nimbus Roman No9 L" w:eastAsia="仿宋_GB2312" w:cs="仿宋_GB2312"/>
          <w:b w:val="0"/>
          <w:bCs w:val="0"/>
          <w:snapToGrid w:val="0"/>
          <w:color w:val="auto"/>
          <w:sz w:val="32"/>
          <w:szCs w:val="32"/>
          <w:highlight w:val="none"/>
          <w:lang w:val="en" w:eastAsia="zh-CN"/>
        </w:rPr>
        <w:t>PDF</w:t>
      </w:r>
      <w:r>
        <w:rPr>
          <w:rFonts w:hint="eastAsia" w:ascii="Nimbus Roman No9 L" w:hAnsi="Nimbus Roman No9 L" w:eastAsia="仿宋_GB2312" w:cs="仿宋_GB2312"/>
          <w:b w:val="0"/>
          <w:bCs w:val="0"/>
          <w:snapToGrid w:val="0"/>
          <w:color w:val="auto"/>
          <w:sz w:val="32"/>
          <w:szCs w:val="32"/>
          <w:highlight w:val="none"/>
          <w:lang w:eastAsia="zh-CN"/>
        </w:rPr>
        <w:t>格式文件，直接上传该</w:t>
      </w:r>
      <w:r>
        <w:rPr>
          <w:rFonts w:hint="eastAsia" w:ascii="Nimbus Roman No9 L" w:hAnsi="Nimbus Roman No9 L" w:eastAsia="仿宋_GB2312" w:cs="仿宋_GB2312"/>
          <w:b w:val="0"/>
          <w:bCs w:val="0"/>
          <w:snapToGrid w:val="0"/>
          <w:color w:val="auto"/>
          <w:sz w:val="32"/>
          <w:szCs w:val="32"/>
          <w:highlight w:val="none"/>
          <w:lang w:val="en" w:eastAsia="zh-CN"/>
        </w:rPr>
        <w:t>PDF</w:t>
      </w:r>
      <w:r>
        <w:rPr>
          <w:rFonts w:hint="eastAsia" w:ascii="Nimbus Roman No9 L" w:hAnsi="Nimbus Roman No9 L" w:eastAsia="仿宋_GB2312" w:cs="仿宋_GB2312"/>
          <w:b w:val="0"/>
          <w:bCs w:val="0"/>
          <w:snapToGrid w:val="0"/>
          <w:color w:val="auto"/>
          <w:sz w:val="32"/>
          <w:szCs w:val="32"/>
          <w:highlight w:val="none"/>
          <w:lang w:eastAsia="zh-CN"/>
        </w:rPr>
        <w:t>文件至评价“评价服务系统”即可，查询及下载过程如下。其他标准，需扫描上传原件或复印件（均需首页盖企业公章，其它页骑缝章）。</w:t>
      </w:r>
    </w:p>
    <w:p w14:paraId="75BBEA60">
      <w:pPr>
        <w:pStyle w:val="7"/>
        <w:keepNext w:val="0"/>
        <w:keepLines w:val="0"/>
        <w:pageBreakBefore w:val="0"/>
        <w:widowControl w:val="0"/>
        <w:kinsoku/>
        <w:wordWrap/>
        <w:overflowPunct/>
        <w:topLinePunct w:val="0"/>
        <w:autoSpaceDE/>
        <w:autoSpaceDN/>
        <w:bidi w:val="0"/>
        <w:adjustRightInd/>
        <w:snapToGrid w:val="0"/>
        <w:spacing w:before="0" w:beforeAutospacing="0" w:after="0" w:afterAutospacing="0" w:line="560" w:lineRule="exact"/>
        <w:ind w:left="0" w:leftChars="0" w:firstLine="640" w:firstLineChars="200"/>
        <w:jc w:val="left"/>
        <w:textAlignment w:val="auto"/>
        <w:rPr>
          <w:rFonts w:hint="eastAsia" w:ascii="Nimbus Roman No9 L" w:hAnsi="Nimbus Roman No9 L" w:eastAsia="仿宋_GB2312" w:cs="仿宋_GB2312"/>
          <w:b w:val="0"/>
          <w:bCs w:val="0"/>
          <w:i w:val="0"/>
          <w:iCs w:val="0"/>
          <w:color w:val="auto"/>
          <w:spacing w:val="0"/>
          <w:sz w:val="32"/>
          <w:szCs w:val="32"/>
          <w:highlight w:val="none"/>
          <w:u w:val="none"/>
          <w:lang w:eastAsia="zh-CN"/>
        </w:rPr>
      </w:pPr>
      <w:r>
        <w:rPr>
          <w:rFonts w:hint="eastAsia" w:ascii="Nimbus Roman No9 L" w:hAnsi="Nimbus Roman No9 L" w:eastAsia="仿宋_GB2312" w:cs="仿宋_GB2312"/>
          <w:b w:val="0"/>
          <w:bCs w:val="0"/>
          <w:i w:val="0"/>
          <w:iCs w:val="0"/>
          <w:color w:val="auto"/>
          <w:spacing w:val="0"/>
          <w:sz w:val="32"/>
          <w:szCs w:val="32"/>
          <w:highlight w:val="none"/>
          <w:u w:val="none"/>
          <w:lang w:eastAsia="zh-CN"/>
        </w:rPr>
        <w:t>七、市级以上领军人才包括以下几种类型：</w:t>
      </w:r>
    </w:p>
    <w:p w14:paraId="20DF8349">
      <w:pPr>
        <w:pStyle w:val="7"/>
        <w:keepNext w:val="0"/>
        <w:keepLines w:val="0"/>
        <w:pageBreakBefore w:val="0"/>
        <w:widowControl w:val="0"/>
        <w:kinsoku/>
        <w:wordWrap/>
        <w:overflowPunct/>
        <w:topLinePunct w:val="0"/>
        <w:autoSpaceDE/>
        <w:autoSpaceDN/>
        <w:bidi w:val="0"/>
        <w:adjustRightInd/>
        <w:snapToGrid w:val="0"/>
        <w:spacing w:before="0" w:beforeAutospacing="0" w:after="0" w:afterAutospacing="0" w:line="560" w:lineRule="exact"/>
        <w:ind w:left="0" w:leftChars="0" w:firstLine="640" w:firstLineChars="200"/>
        <w:jc w:val="left"/>
        <w:textAlignment w:val="auto"/>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pP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1.诺贝尔奖、菲尔兹奖、图灵奖、普利兹克奖等国际重要奖项获得者。</w:t>
      </w:r>
    </w:p>
    <w:p w14:paraId="2C35A619">
      <w:pPr>
        <w:pStyle w:val="7"/>
        <w:keepNext w:val="0"/>
        <w:keepLines w:val="0"/>
        <w:pageBreakBefore w:val="0"/>
        <w:widowControl w:val="0"/>
        <w:kinsoku/>
        <w:wordWrap/>
        <w:overflowPunct/>
        <w:topLinePunct w:val="0"/>
        <w:autoSpaceDE/>
        <w:autoSpaceDN/>
        <w:bidi w:val="0"/>
        <w:adjustRightInd/>
        <w:snapToGrid w:val="0"/>
        <w:spacing w:before="0" w:beforeAutospacing="0" w:after="0" w:afterAutospacing="0" w:line="560" w:lineRule="exact"/>
        <w:ind w:left="0" w:leftChars="0" w:firstLine="640" w:firstLineChars="200"/>
        <w:jc w:val="left"/>
        <w:textAlignment w:val="auto"/>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pP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2.国家最高科学技术奖获得者。</w:t>
      </w:r>
    </w:p>
    <w:p w14:paraId="7A4608AF">
      <w:pPr>
        <w:pStyle w:val="7"/>
        <w:keepNext w:val="0"/>
        <w:keepLines w:val="0"/>
        <w:pageBreakBefore w:val="0"/>
        <w:widowControl w:val="0"/>
        <w:kinsoku/>
        <w:wordWrap/>
        <w:overflowPunct/>
        <w:topLinePunct w:val="0"/>
        <w:autoSpaceDE/>
        <w:autoSpaceDN/>
        <w:bidi w:val="0"/>
        <w:adjustRightInd/>
        <w:snapToGrid w:val="0"/>
        <w:spacing w:before="0" w:beforeAutospacing="0" w:after="0" w:afterAutospacing="0" w:line="560" w:lineRule="exact"/>
        <w:ind w:left="0" w:leftChars="0" w:firstLine="640" w:firstLineChars="200"/>
        <w:jc w:val="left"/>
        <w:textAlignment w:val="auto"/>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pP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3.中国科学院院士、中国工程院院士及发达国家院士。</w:t>
      </w:r>
    </w:p>
    <w:p w14:paraId="6699635D">
      <w:pPr>
        <w:pStyle w:val="7"/>
        <w:keepNext w:val="0"/>
        <w:keepLines w:val="0"/>
        <w:pageBreakBefore w:val="0"/>
        <w:widowControl w:val="0"/>
        <w:kinsoku/>
        <w:wordWrap/>
        <w:overflowPunct/>
        <w:topLinePunct w:val="0"/>
        <w:autoSpaceDE/>
        <w:autoSpaceDN/>
        <w:bidi w:val="0"/>
        <w:adjustRightInd/>
        <w:snapToGrid w:val="0"/>
        <w:spacing w:before="0" w:beforeAutospacing="0" w:after="0" w:afterAutospacing="0" w:line="560" w:lineRule="exact"/>
        <w:ind w:left="0" w:leftChars="0" w:firstLine="640" w:firstLineChars="200"/>
        <w:jc w:val="left"/>
        <w:textAlignment w:val="auto"/>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pPr>
      <w:r>
        <w:rPr>
          <w:rFonts w:hint="eastAsia" w:ascii="Nimbus Roman No9 L" w:hAnsi="Nimbus Roman No9 L" w:eastAsia="仿宋_GB2312" w:cs="仿宋_GB2312"/>
          <w:b w:val="0"/>
          <w:bCs w:val="0"/>
          <w:i w:val="0"/>
          <w:iCs w:val="0"/>
          <w:color w:val="auto"/>
          <w:spacing w:val="0"/>
          <w:sz w:val="32"/>
          <w:szCs w:val="32"/>
          <w:highlight w:val="none"/>
          <w:u w:val="none"/>
          <w:lang w:eastAsia="zh-CN"/>
        </w:rPr>
        <w:t>4</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.国家有突出贡献的中青年专家；中国政府“友谊奖”获得者；国家卓越工程师等。</w:t>
      </w:r>
    </w:p>
    <w:p w14:paraId="78FF18AB">
      <w:pPr>
        <w:pStyle w:val="7"/>
        <w:keepNext w:val="0"/>
        <w:keepLines w:val="0"/>
        <w:pageBreakBefore w:val="0"/>
        <w:widowControl w:val="0"/>
        <w:kinsoku/>
        <w:wordWrap/>
        <w:overflowPunct/>
        <w:topLinePunct w:val="0"/>
        <w:autoSpaceDE/>
        <w:autoSpaceDN/>
        <w:bidi w:val="0"/>
        <w:adjustRightInd/>
        <w:snapToGrid w:val="0"/>
        <w:spacing w:before="0" w:beforeAutospacing="0" w:after="0" w:afterAutospacing="0" w:line="560" w:lineRule="exact"/>
        <w:ind w:left="0" w:leftChars="0" w:firstLine="640" w:firstLineChars="200"/>
        <w:jc w:val="left"/>
        <w:textAlignment w:val="auto"/>
        <w:rPr>
          <w:rFonts w:hint="eastAsia" w:ascii="Nimbus Roman No9 L" w:hAnsi="Nimbus Roman No9 L" w:eastAsia="仿宋_GB2312" w:cs="仿宋_GB2312"/>
          <w:b w:val="0"/>
          <w:bCs w:val="0"/>
          <w:i w:val="0"/>
          <w:iCs w:val="0"/>
          <w:color w:val="auto"/>
          <w:spacing w:val="0"/>
          <w:sz w:val="32"/>
          <w:szCs w:val="32"/>
          <w:highlight w:val="none"/>
          <w:u w:val="none"/>
          <w:lang w:eastAsia="zh-CN"/>
        </w:rPr>
      </w:pPr>
      <w:r>
        <w:rPr>
          <w:rFonts w:hint="eastAsia" w:ascii="Nimbus Roman No9 L" w:hAnsi="Nimbus Roman No9 L" w:eastAsia="仿宋_GB2312" w:cs="仿宋_GB2312"/>
          <w:b w:val="0"/>
          <w:bCs w:val="0"/>
          <w:i w:val="0"/>
          <w:iCs w:val="0"/>
          <w:color w:val="auto"/>
          <w:spacing w:val="0"/>
          <w:sz w:val="32"/>
          <w:szCs w:val="32"/>
          <w:highlight w:val="none"/>
          <w:u w:val="none"/>
          <w:lang w:eastAsia="zh-CN"/>
        </w:rPr>
        <w:t>5</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.中国青年女科学家奖获得者；中国青年科技奖获得者；科技部“创新人才推进计划”人选；中国科学院“百人计划”人才；全国杰出专业技术人才</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中华技能大奖获得者</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全国技术能手</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全国工程勘察设计大师；梁思成奖获得者等</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w:t>
      </w:r>
    </w:p>
    <w:p w14:paraId="2D7A4468">
      <w:pPr>
        <w:pStyle w:val="7"/>
        <w:keepNext w:val="0"/>
        <w:keepLines w:val="0"/>
        <w:pageBreakBefore w:val="0"/>
        <w:widowControl w:val="0"/>
        <w:kinsoku/>
        <w:wordWrap/>
        <w:overflowPunct/>
        <w:topLinePunct w:val="0"/>
        <w:autoSpaceDE/>
        <w:autoSpaceDN/>
        <w:bidi w:val="0"/>
        <w:adjustRightInd/>
        <w:snapToGrid w:val="0"/>
        <w:spacing w:before="0" w:beforeAutospacing="0" w:after="0" w:afterAutospacing="0" w:line="560" w:lineRule="exact"/>
        <w:ind w:left="0" w:leftChars="0" w:firstLine="640" w:firstLineChars="200"/>
        <w:jc w:val="left"/>
        <w:textAlignment w:val="auto"/>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pPr>
      <w:r>
        <w:rPr>
          <w:rFonts w:hint="eastAsia" w:ascii="Nimbus Roman No9 L" w:hAnsi="Nimbus Roman No9 L" w:eastAsia="仿宋_GB2312" w:cs="仿宋_GB2312"/>
          <w:b w:val="0"/>
          <w:bCs w:val="0"/>
          <w:i w:val="0"/>
          <w:iCs w:val="0"/>
          <w:color w:val="auto"/>
          <w:spacing w:val="0"/>
          <w:sz w:val="32"/>
          <w:szCs w:val="32"/>
          <w:highlight w:val="none"/>
          <w:u w:val="none"/>
          <w:lang w:eastAsia="zh-CN"/>
        </w:rPr>
        <w:t>6</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.国家</w:t>
      </w:r>
      <w:r>
        <w:rPr>
          <w:rFonts w:hint="eastAsia" w:ascii="Nimbus Roman No9 L" w:hAnsi="Nimbus Roman No9 L" w:eastAsia="仿宋_GB2312" w:cs="仿宋_GB2312"/>
          <w:b w:val="0"/>
          <w:bCs w:val="0"/>
          <w:i w:val="0"/>
          <w:iCs w:val="0"/>
          <w:color w:val="auto"/>
          <w:spacing w:val="0"/>
          <w:sz w:val="32"/>
          <w:szCs w:val="32"/>
          <w:highlight w:val="none"/>
          <w:u w:val="none"/>
          <w:lang w:val="en" w:eastAsia="zh-CN"/>
        </w:rPr>
        <w:t>科学技术奖</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获得者（</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排名</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前</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5</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位完成人）</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省部级</w:t>
      </w:r>
      <w:r>
        <w:rPr>
          <w:rFonts w:hint="eastAsia" w:ascii="Nimbus Roman No9 L" w:hAnsi="Nimbus Roman No9 L" w:eastAsia="仿宋_GB2312" w:cs="仿宋_GB2312"/>
          <w:b w:val="0"/>
          <w:bCs w:val="0"/>
          <w:i w:val="0"/>
          <w:iCs w:val="0"/>
          <w:color w:val="auto"/>
          <w:spacing w:val="0"/>
          <w:sz w:val="32"/>
          <w:szCs w:val="32"/>
          <w:highlight w:val="none"/>
          <w:u w:val="none"/>
          <w:lang w:val="en" w:eastAsia="zh-CN"/>
        </w:rPr>
        <w:t>科学技术奖</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（含在国家科学技术奖励工作办公室备案的社会力量设立的科学技术奖）获得者（排名前3位完成人）</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中国标准创新贡献奖获得者（个人奖）</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中国专利金奖</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银奖获得者（排名前2位完成人）</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中国外观设计金奖、银奖获得者</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排名前2位完成人）</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省</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部</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级专利金奖获得者（排名前2位完成人）等</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w:t>
      </w:r>
    </w:p>
    <w:p w14:paraId="26C22D7C">
      <w:pPr>
        <w:pStyle w:val="7"/>
        <w:keepNext w:val="0"/>
        <w:keepLines w:val="0"/>
        <w:pageBreakBefore w:val="0"/>
        <w:widowControl w:val="0"/>
        <w:kinsoku/>
        <w:wordWrap/>
        <w:overflowPunct/>
        <w:topLinePunct w:val="0"/>
        <w:autoSpaceDE/>
        <w:autoSpaceDN/>
        <w:bidi w:val="0"/>
        <w:adjustRightInd/>
        <w:snapToGrid w:val="0"/>
        <w:spacing w:before="0" w:beforeAutospacing="0" w:after="0" w:afterAutospacing="0" w:line="560" w:lineRule="exact"/>
        <w:ind w:left="0" w:leftChars="0" w:firstLine="640" w:firstLineChars="200"/>
        <w:jc w:val="left"/>
        <w:textAlignment w:val="auto"/>
        <w:rPr>
          <w:rFonts w:hint="eastAsia" w:ascii="Nimbus Roman No9 L" w:hAnsi="Nimbus Roman No9 L" w:eastAsia="仿宋_GB2312" w:cs="仿宋_GB2312"/>
          <w:b w:val="0"/>
          <w:bCs w:val="0"/>
          <w:i w:val="0"/>
          <w:iCs w:val="0"/>
          <w:color w:val="auto"/>
          <w:spacing w:val="0"/>
          <w:sz w:val="32"/>
          <w:szCs w:val="32"/>
          <w:highlight w:val="none"/>
          <w:u w:val="none"/>
          <w:lang w:eastAsia="zh-CN"/>
        </w:rPr>
      </w:pPr>
      <w:r>
        <w:rPr>
          <w:rFonts w:hint="eastAsia" w:ascii="Nimbus Roman No9 L" w:hAnsi="Nimbus Roman No9 L" w:eastAsia="仿宋_GB2312" w:cs="仿宋_GB2312"/>
          <w:b w:val="0"/>
          <w:bCs w:val="0"/>
          <w:i w:val="0"/>
          <w:iCs w:val="0"/>
          <w:color w:val="auto"/>
          <w:spacing w:val="0"/>
          <w:sz w:val="32"/>
          <w:szCs w:val="32"/>
          <w:highlight w:val="none"/>
          <w:u w:val="none"/>
          <w:lang w:eastAsia="zh-CN"/>
        </w:rPr>
        <w:t>7.</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国家级科技项目主持人</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国家级</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工程项目负责人；国家</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级</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、部级创新平台基地负责人</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等</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w:t>
      </w:r>
    </w:p>
    <w:p w14:paraId="5D4F2C42">
      <w:pPr>
        <w:pStyle w:val="7"/>
        <w:keepNext w:val="0"/>
        <w:keepLines w:val="0"/>
        <w:pageBreakBefore w:val="0"/>
        <w:widowControl w:val="0"/>
        <w:kinsoku/>
        <w:wordWrap/>
        <w:overflowPunct/>
        <w:topLinePunct w:val="0"/>
        <w:autoSpaceDE/>
        <w:autoSpaceDN/>
        <w:bidi w:val="0"/>
        <w:adjustRightInd/>
        <w:snapToGrid w:val="0"/>
        <w:spacing w:before="0" w:beforeAutospacing="0" w:after="0" w:afterAutospacing="0" w:line="560" w:lineRule="exact"/>
        <w:ind w:left="0" w:leftChars="0" w:firstLine="640" w:firstLineChars="200"/>
        <w:jc w:val="left"/>
        <w:textAlignment w:val="auto"/>
        <w:rPr>
          <w:rFonts w:hint="eastAsia" w:ascii="Nimbus Roman No9 L" w:hAnsi="Nimbus Roman No9 L" w:eastAsia="仿宋_GB2312" w:cs="仿宋_GB2312"/>
          <w:b w:val="0"/>
          <w:bCs w:val="0"/>
          <w:i w:val="0"/>
          <w:iCs w:val="0"/>
          <w:color w:val="auto"/>
          <w:spacing w:val="0"/>
          <w:sz w:val="32"/>
          <w:szCs w:val="32"/>
          <w:highlight w:val="none"/>
          <w:u w:val="none"/>
          <w:lang w:eastAsia="zh-CN"/>
        </w:rPr>
      </w:pPr>
      <w:r>
        <w:rPr>
          <w:rFonts w:hint="eastAsia" w:ascii="Nimbus Roman No9 L" w:hAnsi="Nimbus Roman No9 L" w:eastAsia="仿宋_GB2312" w:cs="仿宋_GB2312"/>
          <w:b w:val="0"/>
          <w:bCs w:val="0"/>
          <w:i w:val="0"/>
          <w:iCs w:val="0"/>
          <w:color w:val="auto"/>
          <w:spacing w:val="0"/>
          <w:sz w:val="32"/>
          <w:szCs w:val="32"/>
          <w:highlight w:val="none"/>
          <w:u w:val="none"/>
          <w:lang w:eastAsia="zh-CN"/>
        </w:rPr>
        <w:t>8</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.享受国务院政府特殊津贴专家</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w:t>
      </w:r>
    </w:p>
    <w:p w14:paraId="15C65453">
      <w:pPr>
        <w:pStyle w:val="7"/>
        <w:keepNext w:val="0"/>
        <w:keepLines w:val="0"/>
        <w:pageBreakBefore w:val="0"/>
        <w:widowControl w:val="0"/>
        <w:kinsoku/>
        <w:wordWrap/>
        <w:overflowPunct/>
        <w:topLinePunct w:val="0"/>
        <w:autoSpaceDE/>
        <w:autoSpaceDN/>
        <w:bidi w:val="0"/>
        <w:adjustRightInd/>
        <w:snapToGrid w:val="0"/>
        <w:spacing w:before="0" w:beforeAutospacing="0" w:after="0" w:afterAutospacing="0" w:line="560" w:lineRule="exact"/>
        <w:ind w:left="0" w:leftChars="0" w:firstLine="640" w:firstLineChars="200"/>
        <w:jc w:val="left"/>
        <w:textAlignment w:val="auto"/>
        <w:rPr>
          <w:rFonts w:hint="eastAsia" w:ascii="Nimbus Roman No9 L" w:hAnsi="Nimbus Roman No9 L" w:eastAsia="仿宋_GB2312" w:cs="仿宋_GB2312"/>
          <w:b w:val="0"/>
          <w:bCs w:val="0"/>
          <w:i w:val="0"/>
          <w:iCs w:val="0"/>
          <w:color w:val="auto"/>
          <w:spacing w:val="0"/>
          <w:sz w:val="32"/>
          <w:szCs w:val="32"/>
          <w:highlight w:val="none"/>
          <w:u w:val="none"/>
          <w:lang w:eastAsia="zh-CN"/>
        </w:rPr>
      </w:pPr>
      <w:r>
        <w:rPr>
          <w:rFonts w:hint="eastAsia" w:ascii="Nimbus Roman No9 L" w:hAnsi="Nimbus Roman No9 L" w:eastAsia="仿宋_GB2312" w:cs="仿宋_GB2312"/>
          <w:b w:val="0"/>
          <w:bCs w:val="0"/>
          <w:i w:val="0"/>
          <w:iCs w:val="0"/>
          <w:color w:val="auto"/>
          <w:spacing w:val="0"/>
          <w:sz w:val="32"/>
          <w:szCs w:val="32"/>
          <w:highlight w:val="none"/>
          <w:u w:val="none"/>
          <w:lang w:eastAsia="zh-CN"/>
        </w:rPr>
        <w:t>9.</w:t>
      </w:r>
      <w:r>
        <w:rPr>
          <w:rFonts w:hint="eastAsia" w:ascii="Nimbus Roman No9 L" w:hAnsi="Nimbus Roman No9 L" w:eastAsia="仿宋_GB2312" w:cs="仿宋_GB2312"/>
          <w:b w:val="0"/>
          <w:bCs w:val="0"/>
          <w:i w:val="0"/>
          <w:iCs w:val="0"/>
          <w:color w:val="auto"/>
          <w:spacing w:val="0"/>
          <w:sz w:val="32"/>
          <w:szCs w:val="32"/>
          <w:highlight w:val="none"/>
          <w:u w:val="none"/>
          <w:lang w:val="en-US" w:eastAsia="zh-CN"/>
        </w:rPr>
        <w:t>天津市级人才项目入选者，包括：</w:t>
      </w:r>
      <w:r>
        <w:rPr>
          <w:rFonts w:hint="eastAsia" w:ascii="Nimbus Roman No9 L" w:hAnsi="Nimbus Roman No9 L" w:eastAsia="仿宋_GB2312" w:cs="仿宋_GB2312"/>
          <w:b w:val="0"/>
          <w:bCs w:val="0"/>
          <w:i w:val="0"/>
          <w:iCs w:val="0"/>
          <w:color w:val="auto"/>
          <w:spacing w:val="0"/>
          <w:sz w:val="32"/>
          <w:szCs w:val="32"/>
          <w:highlight w:val="none"/>
          <w:u w:val="none"/>
          <w:lang w:eastAsia="zh-CN"/>
        </w:rPr>
        <w:t>天津市杰出人才、青年科技人才、卓越制造人才、卫生健康领域高层次人才、企业家队伍高层次人才、引进领军人才、引进青年人才、引进高技能人才、海河工匠等。</w:t>
      </w:r>
    </w:p>
    <w:p w14:paraId="6F19A159">
      <w:pPr>
        <w:pStyle w:val="7"/>
        <w:keepNext w:val="0"/>
        <w:keepLines w:val="0"/>
        <w:pageBreakBefore w:val="0"/>
        <w:widowControl w:val="0"/>
        <w:kinsoku/>
        <w:wordWrap/>
        <w:overflowPunct/>
        <w:topLinePunct w:val="0"/>
        <w:autoSpaceDE/>
        <w:autoSpaceDN/>
        <w:bidi w:val="0"/>
        <w:adjustRightInd/>
        <w:snapToGrid w:val="0"/>
        <w:spacing w:before="0" w:beforeAutospacing="0" w:after="0" w:afterAutospacing="0" w:line="560" w:lineRule="exact"/>
        <w:ind w:left="0" w:leftChars="0" w:firstLine="640" w:firstLineChars="200"/>
        <w:jc w:val="both"/>
        <w:textAlignment w:val="auto"/>
        <w:rPr>
          <w:rFonts w:hint="eastAsia" w:ascii="Nimbus Roman No9 L" w:hAnsi="Nimbus Roman No9 L" w:eastAsia="仿宋_GB2312" w:cs="仿宋_GB2312"/>
          <w:b w:val="0"/>
          <w:bCs w:val="0"/>
          <w:i w:val="0"/>
          <w:iCs w:val="0"/>
          <w:color w:val="auto"/>
          <w:spacing w:val="0"/>
          <w:sz w:val="32"/>
          <w:szCs w:val="32"/>
          <w:highlight w:val="none"/>
          <w:u w:val="none"/>
        </w:rPr>
      </w:pPr>
      <w:r>
        <w:rPr>
          <w:rFonts w:hint="eastAsia" w:ascii="Nimbus Roman No9 L" w:hAnsi="Nimbus Roman No9 L" w:eastAsia="仿宋_GB2312" w:cs="仿宋_GB2312"/>
          <w:b w:val="0"/>
          <w:bCs w:val="0"/>
          <w:i w:val="0"/>
          <w:iCs w:val="0"/>
          <w:color w:val="auto"/>
          <w:spacing w:val="0"/>
          <w:sz w:val="32"/>
          <w:szCs w:val="32"/>
          <w:highlight w:val="none"/>
          <w:u w:val="none"/>
          <w:lang w:eastAsia="zh-CN"/>
        </w:rPr>
        <w:t>八、海外人才包括：留学归国工作人员（拥有教育部留学服务中心认证的学历学位证书），在华工作的外国人（拥有国家外国专家局制发的A类、B类工作许可证）。</w:t>
      </w:r>
    </w:p>
    <w:sectPr>
      <w:footerReference r:id="rId3" w:type="default"/>
      <w:pgSz w:w="11906" w:h="16838"/>
      <w:pgMar w:top="1984" w:right="1474" w:bottom="1928" w:left="1587" w:header="851" w:footer="992" w:gutter="0"/>
      <w:paperSrc/>
      <w:pgBorders>
        <w:top w:val="none" w:sz="0" w:space="0"/>
        <w:left w:val="none" w:sz="0" w:space="0"/>
        <w:bottom w:val="none" w:sz="0" w:space="0"/>
        <w:right w:val="none" w:sz="0" w:space="0"/>
      </w:pgBorders>
      <w:pgNumType w:fmt="decimal"/>
      <w:cols w:space="720" w:num="1"/>
      <w:titlePg/>
      <w:rtlGutter w:val="0"/>
      <w:docGrid w:type="lines" w:linePitch="4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Nimbus Roman No9 L">
    <w:altName w:val="Noto Serif SC"/>
    <w:panose1 w:val="00000000000000000000"/>
    <w:charset w:val="00"/>
    <w:family w:val="auto"/>
    <w:pitch w:val="default"/>
    <w:sig w:usb0="00000000" w:usb1="00000000" w:usb2="00000000" w:usb3="00000000" w:csb0="00040001" w:csb1="00000000"/>
  </w:font>
  <w:font w:name="方正小标宋_GBK">
    <w:panose1 w:val="03000509000000000000"/>
    <w:charset w:val="86"/>
    <w:family w:val="auto"/>
    <w:pitch w:val="default"/>
    <w:sig w:usb0="00000001" w:usb1="080E0000" w:usb2="00000000" w:usb3="00000000" w:csb0="00040000" w:csb1="00000000"/>
  </w:font>
  <w:font w:name="Noto Serif SC">
    <w:panose1 w:val="02020200000000000000"/>
    <w:charset w:val="86"/>
    <w:family w:val="auto"/>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7FF45">
    <w:pPr>
      <w:pStyle w:val="4"/>
    </w:pPr>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0C2C29B3">
                <w:pPr>
                  <w:pStyle w:val="4"/>
                </w:pPr>
                <w:r>
                  <w:rPr>
                    <w:rFonts w:hint="default" w:ascii="Nimbus Roman No9 L" w:hAnsi="Nimbus Roman No9 L" w:cs="Nimbus Roman No9 L"/>
                    <w:sz w:val="28"/>
                    <w:szCs w:val="28"/>
                  </w:rPr>
                  <w:fldChar w:fldCharType="begin"/>
                </w:r>
                <w:r>
                  <w:rPr>
                    <w:rFonts w:hint="default" w:ascii="Nimbus Roman No9 L" w:hAnsi="Nimbus Roman No9 L" w:cs="Nimbus Roman No9 L"/>
                    <w:sz w:val="28"/>
                    <w:szCs w:val="28"/>
                  </w:rPr>
                  <w:instrText xml:space="preserve"> PAGE  \* MERGEFORMAT </w:instrText>
                </w:r>
                <w:r>
                  <w:rPr>
                    <w:rFonts w:hint="default" w:ascii="Nimbus Roman No9 L" w:hAnsi="Nimbus Roman No9 L" w:cs="Nimbus Roman No9 L"/>
                    <w:sz w:val="28"/>
                    <w:szCs w:val="28"/>
                  </w:rPr>
                  <w:fldChar w:fldCharType="separate"/>
                </w:r>
                <w:r>
                  <w:rPr>
                    <w:rFonts w:hint="default" w:ascii="Nimbus Roman No9 L" w:hAnsi="Nimbus Roman No9 L" w:cs="Nimbus Roman No9 L"/>
                    <w:sz w:val="28"/>
                    <w:szCs w:val="28"/>
                  </w:rPr>
                  <w:t>- 1 -</w:t>
                </w:r>
                <w:r>
                  <w:rPr>
                    <w:rFonts w:hint="default" w:ascii="Nimbus Roman No9 L" w:hAnsi="Nimbus Roman No9 L" w:cs="Nimbus Roman No9 L"/>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EFAA9BFC"/>
    <w:rsid w:val="0927891E"/>
    <w:rsid w:val="0B8BEB48"/>
    <w:rsid w:val="0BFF368F"/>
    <w:rsid w:val="0D7FA363"/>
    <w:rsid w:val="127E041A"/>
    <w:rsid w:val="15BF6C70"/>
    <w:rsid w:val="15FDAB78"/>
    <w:rsid w:val="16BE744C"/>
    <w:rsid w:val="1723456F"/>
    <w:rsid w:val="1BBAB2A2"/>
    <w:rsid w:val="1BE7582A"/>
    <w:rsid w:val="1BFB0382"/>
    <w:rsid w:val="1DDBAED9"/>
    <w:rsid w:val="1EE7E8F1"/>
    <w:rsid w:val="1F67DDEC"/>
    <w:rsid w:val="1F7FF7FB"/>
    <w:rsid w:val="1FCF27FA"/>
    <w:rsid w:val="1FCFB6DB"/>
    <w:rsid w:val="1FD26E1C"/>
    <w:rsid w:val="1FFBDF9F"/>
    <w:rsid w:val="1FFEFF84"/>
    <w:rsid w:val="21F6B6B2"/>
    <w:rsid w:val="23DFBD97"/>
    <w:rsid w:val="27FFFD10"/>
    <w:rsid w:val="29FFCB6F"/>
    <w:rsid w:val="2B2E96BA"/>
    <w:rsid w:val="2BABF785"/>
    <w:rsid w:val="2CED70D3"/>
    <w:rsid w:val="2F5D3F7A"/>
    <w:rsid w:val="2F7F58EA"/>
    <w:rsid w:val="2FBB1EAE"/>
    <w:rsid w:val="2FD70037"/>
    <w:rsid w:val="2FF671D6"/>
    <w:rsid w:val="2FFD60FE"/>
    <w:rsid w:val="30F2510E"/>
    <w:rsid w:val="313734F8"/>
    <w:rsid w:val="31FEE47C"/>
    <w:rsid w:val="337F7C0B"/>
    <w:rsid w:val="33B9B41B"/>
    <w:rsid w:val="33BFFE72"/>
    <w:rsid w:val="33E34C09"/>
    <w:rsid w:val="359F6CA4"/>
    <w:rsid w:val="35CFDBD7"/>
    <w:rsid w:val="36D7193D"/>
    <w:rsid w:val="3778EE8F"/>
    <w:rsid w:val="37BB2796"/>
    <w:rsid w:val="397BB824"/>
    <w:rsid w:val="39FDC887"/>
    <w:rsid w:val="39FE26AD"/>
    <w:rsid w:val="3A3BDD11"/>
    <w:rsid w:val="3ADFE904"/>
    <w:rsid w:val="3AFC380C"/>
    <w:rsid w:val="3B760B12"/>
    <w:rsid w:val="3B7F3C85"/>
    <w:rsid w:val="3BF91B5C"/>
    <w:rsid w:val="3CAFCB95"/>
    <w:rsid w:val="3CFFA13F"/>
    <w:rsid w:val="3D7A538B"/>
    <w:rsid w:val="3D7DCB7C"/>
    <w:rsid w:val="3D9F4B36"/>
    <w:rsid w:val="3DBF2A16"/>
    <w:rsid w:val="3DE3D594"/>
    <w:rsid w:val="3DEA59AA"/>
    <w:rsid w:val="3DF6570C"/>
    <w:rsid w:val="3EBDCE20"/>
    <w:rsid w:val="3EBDE6A3"/>
    <w:rsid w:val="3EFD4AE4"/>
    <w:rsid w:val="3EFD751A"/>
    <w:rsid w:val="3F63F172"/>
    <w:rsid w:val="3F731EDD"/>
    <w:rsid w:val="3F766B4A"/>
    <w:rsid w:val="3F768323"/>
    <w:rsid w:val="3F7F79F8"/>
    <w:rsid w:val="3FBCA5A1"/>
    <w:rsid w:val="3FDED846"/>
    <w:rsid w:val="3FEF504D"/>
    <w:rsid w:val="3FFB9B52"/>
    <w:rsid w:val="3FFD6E2A"/>
    <w:rsid w:val="3FFE2516"/>
    <w:rsid w:val="3FFFE131"/>
    <w:rsid w:val="3FFFEA85"/>
    <w:rsid w:val="4190680C"/>
    <w:rsid w:val="45F73D76"/>
    <w:rsid w:val="473D2475"/>
    <w:rsid w:val="477C1B10"/>
    <w:rsid w:val="47D7E154"/>
    <w:rsid w:val="47FF680D"/>
    <w:rsid w:val="4A371C3C"/>
    <w:rsid w:val="4B85965F"/>
    <w:rsid w:val="4E1823E2"/>
    <w:rsid w:val="4E7B0C6E"/>
    <w:rsid w:val="4EFFDE5D"/>
    <w:rsid w:val="4F8D049F"/>
    <w:rsid w:val="4F9F2989"/>
    <w:rsid w:val="4FFBBDCB"/>
    <w:rsid w:val="4FFBF7BD"/>
    <w:rsid w:val="4FFD427B"/>
    <w:rsid w:val="4FFFEB5B"/>
    <w:rsid w:val="4FFFF20A"/>
    <w:rsid w:val="515E923A"/>
    <w:rsid w:val="53171E4D"/>
    <w:rsid w:val="53DBDD30"/>
    <w:rsid w:val="574B1EBC"/>
    <w:rsid w:val="576AF4B3"/>
    <w:rsid w:val="579E1EB7"/>
    <w:rsid w:val="57F7FFAF"/>
    <w:rsid w:val="58ADA389"/>
    <w:rsid w:val="59FDD67D"/>
    <w:rsid w:val="59FF4149"/>
    <w:rsid w:val="5BAD3844"/>
    <w:rsid w:val="5BBFD5A6"/>
    <w:rsid w:val="5BDF892B"/>
    <w:rsid w:val="5BED2F5C"/>
    <w:rsid w:val="5BFF1A5C"/>
    <w:rsid w:val="5C65E45C"/>
    <w:rsid w:val="5DBF45ED"/>
    <w:rsid w:val="5DE9CADD"/>
    <w:rsid w:val="5DF09E79"/>
    <w:rsid w:val="5DFF7C76"/>
    <w:rsid w:val="5E7B4C2C"/>
    <w:rsid w:val="5EA7CB87"/>
    <w:rsid w:val="5EFCA148"/>
    <w:rsid w:val="5F5F97D7"/>
    <w:rsid w:val="5F7DB133"/>
    <w:rsid w:val="5FB9F257"/>
    <w:rsid w:val="5FBB507D"/>
    <w:rsid w:val="5FBBD9B5"/>
    <w:rsid w:val="5FBD659F"/>
    <w:rsid w:val="5FE6E547"/>
    <w:rsid w:val="5FEF71D2"/>
    <w:rsid w:val="5FF7379E"/>
    <w:rsid w:val="5FF9547E"/>
    <w:rsid w:val="5FFDF366"/>
    <w:rsid w:val="614BF046"/>
    <w:rsid w:val="61BF0692"/>
    <w:rsid w:val="62D2365D"/>
    <w:rsid w:val="62E6A314"/>
    <w:rsid w:val="63F33948"/>
    <w:rsid w:val="65FD2BF3"/>
    <w:rsid w:val="66FEDC9B"/>
    <w:rsid w:val="6734E9BD"/>
    <w:rsid w:val="67D50231"/>
    <w:rsid w:val="67DFEEC4"/>
    <w:rsid w:val="67E72DCE"/>
    <w:rsid w:val="67FF5BBC"/>
    <w:rsid w:val="685F6DBF"/>
    <w:rsid w:val="69AA3A51"/>
    <w:rsid w:val="69D7C8E9"/>
    <w:rsid w:val="6AB56A49"/>
    <w:rsid w:val="6ADB1AEE"/>
    <w:rsid w:val="6B5D96DF"/>
    <w:rsid w:val="6BCF9AD3"/>
    <w:rsid w:val="6BF8D22B"/>
    <w:rsid w:val="6BFD09B7"/>
    <w:rsid w:val="6D5703DE"/>
    <w:rsid w:val="6D662C89"/>
    <w:rsid w:val="6D6F3989"/>
    <w:rsid w:val="6DBBB907"/>
    <w:rsid w:val="6DBE9E34"/>
    <w:rsid w:val="6DEE9251"/>
    <w:rsid w:val="6DEF3585"/>
    <w:rsid w:val="6DFB6CE0"/>
    <w:rsid w:val="6DFBD443"/>
    <w:rsid w:val="6DFF1982"/>
    <w:rsid w:val="6DFF5DFC"/>
    <w:rsid w:val="6E4E8168"/>
    <w:rsid w:val="6E9FAC58"/>
    <w:rsid w:val="6EB6AE15"/>
    <w:rsid w:val="6EDA7633"/>
    <w:rsid w:val="6EDC403B"/>
    <w:rsid w:val="6EFFCCB4"/>
    <w:rsid w:val="6F56DE78"/>
    <w:rsid w:val="6F6F0809"/>
    <w:rsid w:val="6F7CC46E"/>
    <w:rsid w:val="6FBEF462"/>
    <w:rsid w:val="6FD357A8"/>
    <w:rsid w:val="6FD590F7"/>
    <w:rsid w:val="6FDEB2B8"/>
    <w:rsid w:val="6FDFDEE8"/>
    <w:rsid w:val="6FF79DE3"/>
    <w:rsid w:val="6FF7F552"/>
    <w:rsid w:val="6FF7FB87"/>
    <w:rsid w:val="6FFB3355"/>
    <w:rsid w:val="70E748BE"/>
    <w:rsid w:val="71D93CCD"/>
    <w:rsid w:val="71E3B4B6"/>
    <w:rsid w:val="71EB05E7"/>
    <w:rsid w:val="727E8253"/>
    <w:rsid w:val="727FC693"/>
    <w:rsid w:val="72AEF6AD"/>
    <w:rsid w:val="72BD0C97"/>
    <w:rsid w:val="72F4C86A"/>
    <w:rsid w:val="73FEF668"/>
    <w:rsid w:val="742EFA00"/>
    <w:rsid w:val="7497460B"/>
    <w:rsid w:val="74DF6F5D"/>
    <w:rsid w:val="75BBE08E"/>
    <w:rsid w:val="75BFBEBF"/>
    <w:rsid w:val="75D75EA4"/>
    <w:rsid w:val="75F7A5D6"/>
    <w:rsid w:val="75F9CDF2"/>
    <w:rsid w:val="7649678D"/>
    <w:rsid w:val="767FCF7B"/>
    <w:rsid w:val="7696A1C4"/>
    <w:rsid w:val="76DFEB94"/>
    <w:rsid w:val="76F54238"/>
    <w:rsid w:val="77571F69"/>
    <w:rsid w:val="775F7BC8"/>
    <w:rsid w:val="776FEFD4"/>
    <w:rsid w:val="777B3F20"/>
    <w:rsid w:val="777D336C"/>
    <w:rsid w:val="777F6654"/>
    <w:rsid w:val="77B3EE1A"/>
    <w:rsid w:val="77E79922"/>
    <w:rsid w:val="77F72268"/>
    <w:rsid w:val="77F74095"/>
    <w:rsid w:val="77FE60E0"/>
    <w:rsid w:val="77FF300F"/>
    <w:rsid w:val="77FF668F"/>
    <w:rsid w:val="783D6B60"/>
    <w:rsid w:val="787F64EE"/>
    <w:rsid w:val="78B969D6"/>
    <w:rsid w:val="795F1B53"/>
    <w:rsid w:val="79D1624D"/>
    <w:rsid w:val="79EEB620"/>
    <w:rsid w:val="79EF0629"/>
    <w:rsid w:val="79F8B904"/>
    <w:rsid w:val="79FDAF5F"/>
    <w:rsid w:val="79FF8900"/>
    <w:rsid w:val="7ADE802B"/>
    <w:rsid w:val="7ADFFC1B"/>
    <w:rsid w:val="7AE969C6"/>
    <w:rsid w:val="7AFE9E76"/>
    <w:rsid w:val="7B46485E"/>
    <w:rsid w:val="7B5FB29A"/>
    <w:rsid w:val="7B6E9940"/>
    <w:rsid w:val="7B6FF0BD"/>
    <w:rsid w:val="7B7BB7D2"/>
    <w:rsid w:val="7B7F37BF"/>
    <w:rsid w:val="7B9E0062"/>
    <w:rsid w:val="7BBBE3DB"/>
    <w:rsid w:val="7BCAAFD1"/>
    <w:rsid w:val="7BDBB6F1"/>
    <w:rsid w:val="7BDBBD43"/>
    <w:rsid w:val="7BE7774F"/>
    <w:rsid w:val="7BF1A88C"/>
    <w:rsid w:val="7BF52FCB"/>
    <w:rsid w:val="7BF7108B"/>
    <w:rsid w:val="7BF715D6"/>
    <w:rsid w:val="7BF94C2C"/>
    <w:rsid w:val="7BFAADCF"/>
    <w:rsid w:val="7BFC6672"/>
    <w:rsid w:val="7BFDF742"/>
    <w:rsid w:val="7BFEABE9"/>
    <w:rsid w:val="7BFEC369"/>
    <w:rsid w:val="7CFC1D9A"/>
    <w:rsid w:val="7CFF1233"/>
    <w:rsid w:val="7CFF8550"/>
    <w:rsid w:val="7D5F3313"/>
    <w:rsid w:val="7D6F0A16"/>
    <w:rsid w:val="7D7C4F42"/>
    <w:rsid w:val="7D7D299C"/>
    <w:rsid w:val="7DDF2F3E"/>
    <w:rsid w:val="7DE3FB92"/>
    <w:rsid w:val="7DE6CDBF"/>
    <w:rsid w:val="7DF124CC"/>
    <w:rsid w:val="7DF310CD"/>
    <w:rsid w:val="7DFA5460"/>
    <w:rsid w:val="7DFB6069"/>
    <w:rsid w:val="7DFC6035"/>
    <w:rsid w:val="7DFE278A"/>
    <w:rsid w:val="7DFE4F46"/>
    <w:rsid w:val="7DFED643"/>
    <w:rsid w:val="7DFFCC3C"/>
    <w:rsid w:val="7E27FA59"/>
    <w:rsid w:val="7E615153"/>
    <w:rsid w:val="7E75816B"/>
    <w:rsid w:val="7E7B9FEF"/>
    <w:rsid w:val="7E7BE2F8"/>
    <w:rsid w:val="7E7F5E32"/>
    <w:rsid w:val="7E96ECE6"/>
    <w:rsid w:val="7EBF556D"/>
    <w:rsid w:val="7ED5D95C"/>
    <w:rsid w:val="7EDE7897"/>
    <w:rsid w:val="7EDF2456"/>
    <w:rsid w:val="7EF5B941"/>
    <w:rsid w:val="7EFAC7EC"/>
    <w:rsid w:val="7EFFA519"/>
    <w:rsid w:val="7F1D1B9F"/>
    <w:rsid w:val="7F2F0501"/>
    <w:rsid w:val="7F37D2D6"/>
    <w:rsid w:val="7F3F3593"/>
    <w:rsid w:val="7F4BBEC1"/>
    <w:rsid w:val="7F54BEDB"/>
    <w:rsid w:val="7F5D7A1B"/>
    <w:rsid w:val="7F5E670D"/>
    <w:rsid w:val="7F6F4F3E"/>
    <w:rsid w:val="7F740B6A"/>
    <w:rsid w:val="7F744141"/>
    <w:rsid w:val="7F75576F"/>
    <w:rsid w:val="7F7777C8"/>
    <w:rsid w:val="7F797A9E"/>
    <w:rsid w:val="7F7A3818"/>
    <w:rsid w:val="7F7A870D"/>
    <w:rsid w:val="7F7E5FC5"/>
    <w:rsid w:val="7F7F20F4"/>
    <w:rsid w:val="7F7F28FD"/>
    <w:rsid w:val="7F7F2EF3"/>
    <w:rsid w:val="7F7F5FB3"/>
    <w:rsid w:val="7F7F8A93"/>
    <w:rsid w:val="7F971BCA"/>
    <w:rsid w:val="7F97B829"/>
    <w:rsid w:val="7F9BDD97"/>
    <w:rsid w:val="7FBA1E99"/>
    <w:rsid w:val="7FBBF6ED"/>
    <w:rsid w:val="7FBC309F"/>
    <w:rsid w:val="7FBE2FAA"/>
    <w:rsid w:val="7FBE4B79"/>
    <w:rsid w:val="7FBE8FB3"/>
    <w:rsid w:val="7FBF9B3C"/>
    <w:rsid w:val="7FBFDAFF"/>
    <w:rsid w:val="7FD2EC99"/>
    <w:rsid w:val="7FD354F0"/>
    <w:rsid w:val="7FD8FFFB"/>
    <w:rsid w:val="7FDD9355"/>
    <w:rsid w:val="7FDF712B"/>
    <w:rsid w:val="7FDFBCE8"/>
    <w:rsid w:val="7FE3B585"/>
    <w:rsid w:val="7FEF58F8"/>
    <w:rsid w:val="7FEF746C"/>
    <w:rsid w:val="7FEFA6A2"/>
    <w:rsid w:val="7FF39F0B"/>
    <w:rsid w:val="7FF70497"/>
    <w:rsid w:val="7FF727C9"/>
    <w:rsid w:val="7FF75BC9"/>
    <w:rsid w:val="7FF7AF2C"/>
    <w:rsid w:val="7FF8437B"/>
    <w:rsid w:val="7FFA2991"/>
    <w:rsid w:val="7FFB35A5"/>
    <w:rsid w:val="7FFBAE87"/>
    <w:rsid w:val="7FFCDC33"/>
    <w:rsid w:val="7FFD8210"/>
    <w:rsid w:val="7FFD95DA"/>
    <w:rsid w:val="7FFDB6FE"/>
    <w:rsid w:val="7FFDD61E"/>
    <w:rsid w:val="7FFF451C"/>
    <w:rsid w:val="7FFF8969"/>
    <w:rsid w:val="7FFF8F29"/>
    <w:rsid w:val="7FFFA4F8"/>
    <w:rsid w:val="7FFFA8A8"/>
    <w:rsid w:val="7FFFE0BA"/>
    <w:rsid w:val="8F8FF320"/>
    <w:rsid w:val="8FFD9AD6"/>
    <w:rsid w:val="94EA5D73"/>
    <w:rsid w:val="95AF73BD"/>
    <w:rsid w:val="97FFBF7D"/>
    <w:rsid w:val="97FFE452"/>
    <w:rsid w:val="99C59A62"/>
    <w:rsid w:val="9DDFFD3A"/>
    <w:rsid w:val="9EBBFFFF"/>
    <w:rsid w:val="9FD9A098"/>
    <w:rsid w:val="A6DFBA8F"/>
    <w:rsid w:val="A6ED6E3D"/>
    <w:rsid w:val="A76E6CD8"/>
    <w:rsid w:val="A9FE5BA4"/>
    <w:rsid w:val="AA77962D"/>
    <w:rsid w:val="AA8DF1F0"/>
    <w:rsid w:val="AB8F79A9"/>
    <w:rsid w:val="ABA74A8C"/>
    <w:rsid w:val="ABEF80BB"/>
    <w:rsid w:val="ADA99E93"/>
    <w:rsid w:val="AEE63C62"/>
    <w:rsid w:val="AEEB1E88"/>
    <w:rsid w:val="AFFB5B37"/>
    <w:rsid w:val="AFFEE3AE"/>
    <w:rsid w:val="B1DB8C7E"/>
    <w:rsid w:val="B1EB4061"/>
    <w:rsid w:val="B2CD2B53"/>
    <w:rsid w:val="B3FF5859"/>
    <w:rsid w:val="B5E186BF"/>
    <w:rsid w:val="B77AE3CE"/>
    <w:rsid w:val="B7EC78A7"/>
    <w:rsid w:val="B9DD0B70"/>
    <w:rsid w:val="B9F32FD9"/>
    <w:rsid w:val="B9FE8913"/>
    <w:rsid w:val="B9FF7F56"/>
    <w:rsid w:val="B9FFDAB7"/>
    <w:rsid w:val="BA7B23C6"/>
    <w:rsid w:val="BABE3E69"/>
    <w:rsid w:val="BACE72CB"/>
    <w:rsid w:val="BAFDBA65"/>
    <w:rsid w:val="BAFF3C2D"/>
    <w:rsid w:val="BBB91B23"/>
    <w:rsid w:val="BBBB3F8C"/>
    <w:rsid w:val="BBFFAAA4"/>
    <w:rsid w:val="BCF32EA8"/>
    <w:rsid w:val="BD5F0553"/>
    <w:rsid w:val="BD6F9243"/>
    <w:rsid w:val="BD7D1F06"/>
    <w:rsid w:val="BD7FDDBE"/>
    <w:rsid w:val="BDB377A3"/>
    <w:rsid w:val="BDF31A9C"/>
    <w:rsid w:val="BDFA0DD9"/>
    <w:rsid w:val="BE3FCBE9"/>
    <w:rsid w:val="BE7E9567"/>
    <w:rsid w:val="BE7EAE15"/>
    <w:rsid w:val="BEB6A674"/>
    <w:rsid w:val="BEBFBA84"/>
    <w:rsid w:val="BED7C524"/>
    <w:rsid w:val="BEFF81CB"/>
    <w:rsid w:val="BF3B4936"/>
    <w:rsid w:val="BF478AA2"/>
    <w:rsid w:val="BF6B602C"/>
    <w:rsid w:val="BFB72D31"/>
    <w:rsid w:val="BFBC5EFA"/>
    <w:rsid w:val="BFBF9CB9"/>
    <w:rsid w:val="BFC5779F"/>
    <w:rsid w:val="BFDD9C58"/>
    <w:rsid w:val="BFE7F10E"/>
    <w:rsid w:val="BFEE0CCA"/>
    <w:rsid w:val="BFEF2BAE"/>
    <w:rsid w:val="BFEF88FD"/>
    <w:rsid w:val="BFEF9CE1"/>
    <w:rsid w:val="BFF6AD5E"/>
    <w:rsid w:val="BFF91315"/>
    <w:rsid w:val="BFFB6AD0"/>
    <w:rsid w:val="BFFD3CA0"/>
    <w:rsid w:val="BFFE6AED"/>
    <w:rsid w:val="BFFF597D"/>
    <w:rsid w:val="BFFFB1C5"/>
    <w:rsid w:val="C5F3A7E4"/>
    <w:rsid w:val="C5FE053C"/>
    <w:rsid w:val="C7D57A3B"/>
    <w:rsid w:val="C7EF79BC"/>
    <w:rsid w:val="CB8E527B"/>
    <w:rsid w:val="CBF7DB39"/>
    <w:rsid w:val="CCF7C5C3"/>
    <w:rsid w:val="CCF7CAF8"/>
    <w:rsid w:val="CD53547B"/>
    <w:rsid w:val="CD7527EA"/>
    <w:rsid w:val="CE5FA2FF"/>
    <w:rsid w:val="CE7FA61E"/>
    <w:rsid w:val="CFCE88F4"/>
    <w:rsid w:val="CFE74E85"/>
    <w:rsid w:val="CFF9652E"/>
    <w:rsid w:val="CFFF3B88"/>
    <w:rsid w:val="D33B4A2B"/>
    <w:rsid w:val="D3F7969A"/>
    <w:rsid w:val="D3FF0DF3"/>
    <w:rsid w:val="D67F21C1"/>
    <w:rsid w:val="D6F51FDE"/>
    <w:rsid w:val="D76B7346"/>
    <w:rsid w:val="D7D68E20"/>
    <w:rsid w:val="D7F7DDE0"/>
    <w:rsid w:val="D7FF6E75"/>
    <w:rsid w:val="D8BBBAAD"/>
    <w:rsid w:val="D8FD5D4F"/>
    <w:rsid w:val="D96BBD15"/>
    <w:rsid w:val="D9A13068"/>
    <w:rsid w:val="D9BC0EA1"/>
    <w:rsid w:val="D9FBF5A7"/>
    <w:rsid w:val="DA5FE21B"/>
    <w:rsid w:val="DADFB05E"/>
    <w:rsid w:val="DAFF6F8C"/>
    <w:rsid w:val="DBFB4DFB"/>
    <w:rsid w:val="DCBE3972"/>
    <w:rsid w:val="DDEBD9FF"/>
    <w:rsid w:val="DDED20D3"/>
    <w:rsid w:val="DDFB42C2"/>
    <w:rsid w:val="DEBF647D"/>
    <w:rsid w:val="DEDCB509"/>
    <w:rsid w:val="DEFBEC24"/>
    <w:rsid w:val="DF3ECCC7"/>
    <w:rsid w:val="DF6D54CB"/>
    <w:rsid w:val="DF758208"/>
    <w:rsid w:val="DF7B5ACF"/>
    <w:rsid w:val="DF7BABD3"/>
    <w:rsid w:val="DF7FF751"/>
    <w:rsid w:val="DFA98A96"/>
    <w:rsid w:val="DFDFABFC"/>
    <w:rsid w:val="DFED3735"/>
    <w:rsid w:val="DFF77F76"/>
    <w:rsid w:val="DFF79560"/>
    <w:rsid w:val="DFF7C1F7"/>
    <w:rsid w:val="DFF7F49B"/>
    <w:rsid w:val="DFFCC950"/>
    <w:rsid w:val="DFFD997A"/>
    <w:rsid w:val="DFFF43D8"/>
    <w:rsid w:val="E0A9734C"/>
    <w:rsid w:val="E1B30AC0"/>
    <w:rsid w:val="E37FC4DC"/>
    <w:rsid w:val="E3F54852"/>
    <w:rsid w:val="E47FBD1B"/>
    <w:rsid w:val="E5DBCD1A"/>
    <w:rsid w:val="E66B87BC"/>
    <w:rsid w:val="E72B48B4"/>
    <w:rsid w:val="E76E0203"/>
    <w:rsid w:val="E79F83BC"/>
    <w:rsid w:val="E7AFD66E"/>
    <w:rsid w:val="E7D5A30B"/>
    <w:rsid w:val="E7E9ABDA"/>
    <w:rsid w:val="E7F1B507"/>
    <w:rsid w:val="E9FF11F3"/>
    <w:rsid w:val="EABE2FBF"/>
    <w:rsid w:val="EB5F6077"/>
    <w:rsid w:val="EB7ED509"/>
    <w:rsid w:val="EBFBFA74"/>
    <w:rsid w:val="EBFFEC1B"/>
    <w:rsid w:val="ECAE8611"/>
    <w:rsid w:val="ECCAACE3"/>
    <w:rsid w:val="ECFF806A"/>
    <w:rsid w:val="ED72219D"/>
    <w:rsid w:val="EDDF1A7E"/>
    <w:rsid w:val="EDE79FB8"/>
    <w:rsid w:val="EDF7D275"/>
    <w:rsid w:val="EDFF34E4"/>
    <w:rsid w:val="EEAAD38A"/>
    <w:rsid w:val="EEFF117A"/>
    <w:rsid w:val="EEFF7467"/>
    <w:rsid w:val="EEFF7E6C"/>
    <w:rsid w:val="EF124844"/>
    <w:rsid w:val="EF3DBEAB"/>
    <w:rsid w:val="EF4F94A1"/>
    <w:rsid w:val="EF6CD5B4"/>
    <w:rsid w:val="EF7F1259"/>
    <w:rsid w:val="EF8A0B81"/>
    <w:rsid w:val="EF9782A6"/>
    <w:rsid w:val="EF9B71F6"/>
    <w:rsid w:val="EFAA9BFC"/>
    <w:rsid w:val="EFBF3195"/>
    <w:rsid w:val="EFDC8549"/>
    <w:rsid w:val="EFE74994"/>
    <w:rsid w:val="EFE75C33"/>
    <w:rsid w:val="EFF3B739"/>
    <w:rsid w:val="EFF49991"/>
    <w:rsid w:val="EFF57948"/>
    <w:rsid w:val="EFFB2AC1"/>
    <w:rsid w:val="EFFD36DF"/>
    <w:rsid w:val="EFFDDE13"/>
    <w:rsid w:val="EFFF1492"/>
    <w:rsid w:val="EFFF47CB"/>
    <w:rsid w:val="EFFF88A9"/>
    <w:rsid w:val="EFFF9B31"/>
    <w:rsid w:val="EFFF9F84"/>
    <w:rsid w:val="F12EE9D5"/>
    <w:rsid w:val="F1FFC97A"/>
    <w:rsid w:val="F3077981"/>
    <w:rsid w:val="F37933AC"/>
    <w:rsid w:val="F37F6EC2"/>
    <w:rsid w:val="F3A9568A"/>
    <w:rsid w:val="F3BFDAC1"/>
    <w:rsid w:val="F3EBE229"/>
    <w:rsid w:val="F3FDEDED"/>
    <w:rsid w:val="F3FFCFAE"/>
    <w:rsid w:val="F4DEBDB4"/>
    <w:rsid w:val="F4FF63BC"/>
    <w:rsid w:val="F57F2E2A"/>
    <w:rsid w:val="F5CE2DF7"/>
    <w:rsid w:val="F5F1DD04"/>
    <w:rsid w:val="F5F8973F"/>
    <w:rsid w:val="F5FD695C"/>
    <w:rsid w:val="F5FF5A8D"/>
    <w:rsid w:val="F65FB363"/>
    <w:rsid w:val="F67E11BC"/>
    <w:rsid w:val="F6ED4115"/>
    <w:rsid w:val="F6EF11C8"/>
    <w:rsid w:val="F6EF5954"/>
    <w:rsid w:val="F6F7A975"/>
    <w:rsid w:val="F6FF29D4"/>
    <w:rsid w:val="F75F25D2"/>
    <w:rsid w:val="F773716B"/>
    <w:rsid w:val="F7B771EE"/>
    <w:rsid w:val="F7B9DCCE"/>
    <w:rsid w:val="F7BB33E8"/>
    <w:rsid w:val="F7BB783C"/>
    <w:rsid w:val="F7DE1448"/>
    <w:rsid w:val="F7F6B992"/>
    <w:rsid w:val="F7F97E33"/>
    <w:rsid w:val="F7FB6ABA"/>
    <w:rsid w:val="F7FB8CB6"/>
    <w:rsid w:val="F7FC072D"/>
    <w:rsid w:val="F8D615A2"/>
    <w:rsid w:val="F8FF1758"/>
    <w:rsid w:val="F93FF9F8"/>
    <w:rsid w:val="F96D6D74"/>
    <w:rsid w:val="F9B54341"/>
    <w:rsid w:val="F9F7E539"/>
    <w:rsid w:val="F9FF5BB4"/>
    <w:rsid w:val="FA3F6351"/>
    <w:rsid w:val="FAD39129"/>
    <w:rsid w:val="FADB37CB"/>
    <w:rsid w:val="FAEFD4C1"/>
    <w:rsid w:val="FAF53B51"/>
    <w:rsid w:val="FAFF353C"/>
    <w:rsid w:val="FB77FE00"/>
    <w:rsid w:val="FB9F8A61"/>
    <w:rsid w:val="FBA3F093"/>
    <w:rsid w:val="FBBFA7A9"/>
    <w:rsid w:val="FBCF8652"/>
    <w:rsid w:val="FBDAB993"/>
    <w:rsid w:val="FBFD2D0C"/>
    <w:rsid w:val="FBFD8AE1"/>
    <w:rsid w:val="FBFEA5AC"/>
    <w:rsid w:val="FBFF5D1E"/>
    <w:rsid w:val="FBFFAAEF"/>
    <w:rsid w:val="FC7A0229"/>
    <w:rsid w:val="FC7E88EB"/>
    <w:rsid w:val="FC7F2F71"/>
    <w:rsid w:val="FCDFB1A0"/>
    <w:rsid w:val="FCF52BC3"/>
    <w:rsid w:val="FCFB23C6"/>
    <w:rsid w:val="FCFB3163"/>
    <w:rsid w:val="FCFFF37F"/>
    <w:rsid w:val="FD3F4BB7"/>
    <w:rsid w:val="FD3F6A37"/>
    <w:rsid w:val="FD3FC9F9"/>
    <w:rsid w:val="FD5D91BB"/>
    <w:rsid w:val="FD7C1601"/>
    <w:rsid w:val="FD7F0E97"/>
    <w:rsid w:val="FDA53C26"/>
    <w:rsid w:val="FDBF0E69"/>
    <w:rsid w:val="FDCE3048"/>
    <w:rsid w:val="FDDF33AF"/>
    <w:rsid w:val="FDDF9561"/>
    <w:rsid w:val="FDEF346D"/>
    <w:rsid w:val="FDEF8991"/>
    <w:rsid w:val="FDF5A466"/>
    <w:rsid w:val="FDF778CC"/>
    <w:rsid w:val="FDF93C1E"/>
    <w:rsid w:val="FDFABAF8"/>
    <w:rsid w:val="FE73DAE7"/>
    <w:rsid w:val="FEBB0FB2"/>
    <w:rsid w:val="FEC7D141"/>
    <w:rsid w:val="FECBDB55"/>
    <w:rsid w:val="FED5824B"/>
    <w:rsid w:val="FED7676E"/>
    <w:rsid w:val="FED7A1D9"/>
    <w:rsid w:val="FEDAE409"/>
    <w:rsid w:val="FEEFB8CF"/>
    <w:rsid w:val="FEF62B94"/>
    <w:rsid w:val="FEF721F7"/>
    <w:rsid w:val="FEF75EAF"/>
    <w:rsid w:val="FEFB24AE"/>
    <w:rsid w:val="FEFDF434"/>
    <w:rsid w:val="FEFFB56E"/>
    <w:rsid w:val="FEFFB6C6"/>
    <w:rsid w:val="FEFFB9C0"/>
    <w:rsid w:val="FEFFE168"/>
    <w:rsid w:val="FEFFEEB1"/>
    <w:rsid w:val="FF174F5F"/>
    <w:rsid w:val="FF17DD9B"/>
    <w:rsid w:val="FF2D82BC"/>
    <w:rsid w:val="FF2F42E2"/>
    <w:rsid w:val="FF3B21BC"/>
    <w:rsid w:val="FF3FB22B"/>
    <w:rsid w:val="FF4DDCF8"/>
    <w:rsid w:val="FF4F6564"/>
    <w:rsid w:val="FF5EBC05"/>
    <w:rsid w:val="FF5F2631"/>
    <w:rsid w:val="FF6708CF"/>
    <w:rsid w:val="FF7201DC"/>
    <w:rsid w:val="FF73E692"/>
    <w:rsid w:val="FF7AB67E"/>
    <w:rsid w:val="FF7BA95A"/>
    <w:rsid w:val="FF7D67E4"/>
    <w:rsid w:val="FF8F77EB"/>
    <w:rsid w:val="FF972CF3"/>
    <w:rsid w:val="FF9FF1BC"/>
    <w:rsid w:val="FFAD3135"/>
    <w:rsid w:val="FFAF3341"/>
    <w:rsid w:val="FFB5A681"/>
    <w:rsid w:val="FFBF833B"/>
    <w:rsid w:val="FFBF958E"/>
    <w:rsid w:val="FFC926BB"/>
    <w:rsid w:val="FFCDE3E6"/>
    <w:rsid w:val="FFCFFF83"/>
    <w:rsid w:val="FFD55536"/>
    <w:rsid w:val="FFDD775E"/>
    <w:rsid w:val="FFDF19CD"/>
    <w:rsid w:val="FFEBA076"/>
    <w:rsid w:val="FFED48EA"/>
    <w:rsid w:val="FFEDB8A4"/>
    <w:rsid w:val="FFEE488C"/>
    <w:rsid w:val="FFEE590C"/>
    <w:rsid w:val="FFEF6850"/>
    <w:rsid w:val="FFEF82A9"/>
    <w:rsid w:val="FFF9F9D5"/>
    <w:rsid w:val="FFFB9601"/>
    <w:rsid w:val="FFFCD739"/>
    <w:rsid w:val="FFFD4DB8"/>
    <w:rsid w:val="FFFDA2EF"/>
    <w:rsid w:val="FFFDB6B9"/>
    <w:rsid w:val="FFFDEF72"/>
    <w:rsid w:val="FFFE3CFC"/>
    <w:rsid w:val="FFFEDE3D"/>
    <w:rsid w:val="FFFFE0B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jc w:val="left"/>
      <w:outlineLvl w:val="0"/>
    </w:pPr>
    <w:rPr>
      <w:rFonts w:hint="eastAsia" w:ascii="宋体" w:hAnsi="宋体"/>
      <w:b/>
      <w:kern w:val="44"/>
      <w:sz w:val="48"/>
      <w:szCs w:val="48"/>
    </w:rPr>
  </w:style>
  <w:style w:type="character" w:default="1" w:styleId="11">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3">
    <w:name w:val="Body Text"/>
    <w:basedOn w:val="1"/>
    <w:next w:val="1"/>
    <w:unhideWhenUsed/>
    <w:qFormat/>
    <w:uiPriority w:val="1"/>
    <w:pPr>
      <w:ind w:left="214"/>
    </w:pPr>
    <w:rPr>
      <w:sz w:val="32"/>
      <w:szCs w:val="32"/>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Body Text First Indent 2"/>
    <w:qFormat/>
    <w:uiPriority w:val="0"/>
    <w:pPr>
      <w:widowControl w:val="0"/>
      <w:spacing w:after="120"/>
      <w:ind w:left="420" w:leftChars="200" w:firstLine="420" w:firstLineChars="200"/>
      <w:jc w:val="both"/>
    </w:pPr>
    <w:rPr>
      <w:rFonts w:ascii="Times New Roman" w:hAnsi="Times New Roman" w:eastAsia="仿宋_GB2312" w:cs="Times New Roman"/>
      <w:kern w:val="2"/>
      <w:sz w:val="32"/>
      <w:szCs w:val="24"/>
      <w:lang w:val="en-US" w:eastAsia="zh-CN" w:bidi="ar-SA"/>
    </w:rPr>
  </w:style>
  <w:style w:type="table" w:styleId="10">
    <w:name w:val="Table Grid"/>
    <w:basedOn w:val="9"/>
    <w:qFormat/>
    <w:uiPriority w:val="0"/>
    <w:pPr>
      <w:widowControl w:val="0"/>
      <w:jc w:val="both"/>
    </w:pPr>
    <w:tblPr>
      <w:tblStyle w:val="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2576</Words>
  <Characters>2905</Characters>
  <Lines>0</Lines>
  <Paragraphs>0</Paragraphs>
  <TotalTime>187.333333333333</TotalTime>
  <ScaleCrop>false</ScaleCrop>
  <LinksUpToDate>false</LinksUpToDate>
  <CharactersWithSpaces>2920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2025-08-24T02:10:00Z</dcterms:created>
  <dc:creator>李青</dc:creator>
  <cp:lastModifiedBy>对方正在输入...</cp:lastModifiedBy>
  <cp:lastPrinted>2026-10-09T08:44:31Z</cp:lastPrinted>
  <dcterms:modified xsi:type="dcterms:W3CDTF">2026-10-12T01:36:13Z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350F47493A7647B78E5EB7E447BB50CF_13</vt:lpwstr>
  </property>
</Properties>
</file>