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957" w:rsidRDefault="009F3957" w:rsidP="009F3957">
      <w:pPr>
        <w:spacing w:line="640" w:lineRule="exact"/>
        <w:jc w:val="center"/>
        <w:rPr>
          <w:rFonts w:ascii="方正小标宋简体" w:eastAsia="方正小标宋简体" w:hint="eastAsia"/>
          <w:bCs/>
          <w:color w:val="000000"/>
          <w:sz w:val="44"/>
          <w:szCs w:val="44"/>
        </w:rPr>
      </w:pPr>
    </w:p>
    <w:p w:rsidR="009F3957" w:rsidRDefault="009F3957" w:rsidP="009F3957">
      <w:pPr>
        <w:spacing w:line="640" w:lineRule="exact"/>
        <w:jc w:val="center"/>
        <w:rPr>
          <w:rFonts w:ascii="方正小标宋简体" w:eastAsia="方正小标宋简体" w:hint="eastAsia"/>
          <w:bCs/>
          <w:color w:val="000000"/>
          <w:sz w:val="44"/>
          <w:szCs w:val="44"/>
        </w:rPr>
      </w:pPr>
      <w:r>
        <w:rPr>
          <w:rFonts w:ascii="方正小标宋简体" w:eastAsia="方正小标宋简体" w:hint="eastAsia"/>
          <w:bCs/>
          <w:color w:val="000000"/>
          <w:sz w:val="44"/>
          <w:szCs w:val="44"/>
        </w:rPr>
        <w:t>天津港保税区药品和医疗器械安全</w:t>
      </w:r>
    </w:p>
    <w:p w:rsidR="009F3957" w:rsidRDefault="009F3957" w:rsidP="009F3957">
      <w:pPr>
        <w:spacing w:line="640" w:lineRule="exact"/>
        <w:jc w:val="center"/>
        <w:rPr>
          <w:rFonts w:ascii="方正小标宋简体" w:eastAsia="方正小标宋简体" w:hint="eastAsia"/>
          <w:bCs/>
          <w:color w:val="000000"/>
          <w:sz w:val="44"/>
          <w:szCs w:val="44"/>
        </w:rPr>
      </w:pPr>
      <w:r>
        <w:rPr>
          <w:rFonts w:ascii="方正小标宋简体" w:eastAsia="方正小标宋简体" w:hint="eastAsia"/>
          <w:bCs/>
          <w:color w:val="000000"/>
          <w:sz w:val="44"/>
          <w:szCs w:val="44"/>
        </w:rPr>
        <w:t>突发事件应急预案</w:t>
      </w:r>
    </w:p>
    <w:p w:rsidR="009F3957" w:rsidRDefault="009F3957" w:rsidP="009F3957">
      <w:pPr>
        <w:spacing w:line="640" w:lineRule="exact"/>
        <w:jc w:val="center"/>
        <w:rPr>
          <w:rFonts w:ascii="方正小标宋简体" w:eastAsia="方正小标宋简体" w:hint="eastAsia"/>
          <w:bCs/>
          <w:color w:val="000000"/>
          <w:sz w:val="44"/>
          <w:szCs w:val="44"/>
        </w:rPr>
      </w:pPr>
    </w:p>
    <w:p w:rsidR="009F3957" w:rsidRDefault="009F3957" w:rsidP="009F3957">
      <w:pPr>
        <w:spacing w:line="20" w:lineRule="exact"/>
        <w:jc w:val="center"/>
        <w:rPr>
          <w:rFonts w:ascii="宋体" w:hAnsi="宋体" w:cs="宋体" w:hint="eastAsia"/>
          <w:color w:val="000000"/>
          <w:szCs w:val="28"/>
        </w:rPr>
      </w:pPr>
    </w:p>
    <w:p w:rsidR="009F3957" w:rsidRDefault="009F3957" w:rsidP="009F3957">
      <w:pPr>
        <w:pStyle w:val="1"/>
        <w:autoSpaceDE w:val="0"/>
        <w:autoSpaceDN w:val="0"/>
        <w:adjustRightInd w:val="0"/>
        <w:spacing w:line="580" w:lineRule="exact"/>
        <w:ind w:firstLine="640"/>
        <w:rPr>
          <w:rFonts w:ascii="黑体" w:eastAsia="黑体" w:hAnsi="黑体" w:cs="黑体" w:hint="eastAsia"/>
          <w:bCs/>
          <w:color w:val="000000"/>
          <w:sz w:val="32"/>
          <w:szCs w:val="32"/>
        </w:rPr>
      </w:pPr>
      <w:r>
        <w:rPr>
          <w:rFonts w:ascii="黑体" w:eastAsia="黑体" w:hAnsi="黑体" w:cs="黑体" w:hint="eastAsia"/>
          <w:bCs/>
          <w:color w:val="000000"/>
          <w:sz w:val="32"/>
          <w:szCs w:val="32"/>
        </w:rPr>
        <w:t>一、总则</w:t>
      </w:r>
    </w:p>
    <w:p w:rsidR="009F3957" w:rsidRDefault="009F3957" w:rsidP="009F3957">
      <w:pPr>
        <w:pStyle w:val="2"/>
        <w:keepNext w:val="0"/>
        <w:keepLines w:val="0"/>
        <w:spacing w:line="56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（一）适用范围</w:t>
      </w:r>
    </w:p>
    <w:p w:rsidR="009F3957" w:rsidRDefault="009F3957" w:rsidP="009F3957">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本预案是天津港保税区应对药品、医疗器械安全突发事件的专项应急预案，适用于天津港保税区行政区域内药品零售、使用环节，医疗器械经营、使用环节突发事件的应急处置工作。</w:t>
      </w:r>
    </w:p>
    <w:p w:rsidR="009F3957" w:rsidRDefault="009F3957" w:rsidP="009F3957">
      <w:pPr>
        <w:pStyle w:val="2"/>
        <w:keepNext w:val="0"/>
        <w:keepLines w:val="0"/>
        <w:spacing w:line="56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（二）工作原则</w:t>
      </w:r>
    </w:p>
    <w:p w:rsidR="009F3957" w:rsidRDefault="009F3957" w:rsidP="009F3957">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统一领导，分级管理。在天津港保税区管委会（以下简称“保税区管委会”）的统一领导下，根据药品、医疗器械安全突发事件的性质、危害程度和影响范围等，实施属地化分级响应。各级部门按照事件等级启动相应级别的指挥体系和响应程序，分级负责，落实责任。</w:t>
      </w:r>
    </w:p>
    <w:p w:rsidR="009F3957" w:rsidRDefault="009F3957" w:rsidP="009F3957">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高度重视，积极应对。各有关职能部门要统一认识，加强领导，高度重视药品、医疗器械安全突发事件的应对工作，强化人力、物力和财力准备，积极应对，增强应急处置能力。</w:t>
      </w:r>
    </w:p>
    <w:p w:rsidR="009F3957" w:rsidRDefault="009F3957" w:rsidP="009F3957">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预防为主，快速反应。坚持预防为主，预防与应急相结合、日常监管与应急措施相结合的原则，将应急管理融于常态工作，及时消除安全隐患；建立健全药品、医疗器械安全突发事件的监测、预警、处置、救治和善后的快速反应机制，强化安全风险管理，做到早发现、早报告、早控制，一旦发</w:t>
      </w:r>
      <w:r>
        <w:rPr>
          <w:rFonts w:ascii="仿宋_GB2312" w:eastAsia="仿宋_GB2312" w:hAnsi="宋体" w:hint="eastAsia"/>
          <w:color w:val="000000"/>
          <w:sz w:val="32"/>
          <w:szCs w:val="32"/>
        </w:rPr>
        <w:lastRenderedPageBreak/>
        <w:t>生突发事件，快速反应，及时处置。</w:t>
      </w:r>
    </w:p>
    <w:p w:rsidR="009F3957" w:rsidRDefault="009F3957" w:rsidP="009F3957">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加强配合，健全机制。各有关部门按照职责分工，各司其职，密切协同，建立健全各有关职能部门之间的联动机制，形成应对药品、医疗器械安全突发事件的合力。</w:t>
      </w:r>
    </w:p>
    <w:p w:rsidR="009F3957" w:rsidRDefault="009F3957" w:rsidP="009F3957">
      <w:pPr>
        <w:pStyle w:val="2"/>
        <w:keepNext w:val="0"/>
        <w:keepLines w:val="0"/>
        <w:spacing w:line="56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（三）响应分级</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1.事件分级</w:t>
      </w:r>
    </w:p>
    <w:p w:rsidR="009F3957" w:rsidRDefault="009F3957" w:rsidP="009F3957">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天津港保税区辖区内药品、医疗器械安全突发事件按照其危害程度、扩散性、社会影响和应急处置所需调动的资源力量等因素，药品、医疗器械安全突发事件分为四级：Ⅰ级（特别重大）、Ⅱ级（重大）、Ⅲ级（较大）和Ⅳ级（一般）。</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w:t>
      </w:r>
      <w:r>
        <w:rPr>
          <w:rFonts w:ascii="仿宋_GB2312" w:eastAsia="仿宋_GB2312"/>
          <w:color w:val="000000"/>
          <w:kern w:val="2"/>
          <w:sz w:val="32"/>
          <w:szCs w:val="32"/>
        </w:rPr>
        <w:t>1）</w:t>
      </w:r>
      <w:r>
        <w:rPr>
          <w:rFonts w:ascii="仿宋_GB2312" w:eastAsia="仿宋_GB2312"/>
          <w:color w:val="000000"/>
          <w:kern w:val="2"/>
          <w:sz w:val="32"/>
          <w:szCs w:val="32"/>
          <w:lang w:val="zh-CN"/>
        </w:rPr>
        <w:t>符合下列情形之一的，为Ⅰ级（特别重大）</w:t>
      </w:r>
      <w:r>
        <w:rPr>
          <w:rFonts w:ascii="仿宋_GB2312" w:eastAsia="仿宋_GB2312"/>
          <w:color w:val="000000"/>
          <w:kern w:val="2"/>
          <w:sz w:val="32"/>
          <w:szCs w:val="32"/>
        </w:rPr>
        <w:t>事件</w:t>
      </w:r>
      <w:r>
        <w:rPr>
          <w:rFonts w:ascii="仿宋_GB2312" w:eastAsia="仿宋_GB2312"/>
          <w:color w:val="000000"/>
          <w:kern w:val="2"/>
          <w:sz w:val="32"/>
          <w:szCs w:val="32"/>
          <w:lang w:val="zh-CN"/>
        </w:rPr>
        <w:t>：</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rPr>
        <w:t>①</w:t>
      </w:r>
      <w:r>
        <w:rPr>
          <w:rFonts w:ascii="仿宋_GB2312" w:eastAsia="仿宋_GB2312"/>
          <w:color w:val="000000"/>
          <w:kern w:val="2"/>
          <w:sz w:val="32"/>
          <w:szCs w:val="32"/>
          <w:lang w:val="zh-CN"/>
        </w:rPr>
        <w:t>在相对集中的时间、区域内，批号相对集中的同一药品、</w:t>
      </w:r>
      <w:r>
        <w:rPr>
          <w:rFonts w:ascii="仿宋_GB2312" w:eastAsia="仿宋_GB2312"/>
          <w:color w:val="000000"/>
          <w:kern w:val="2"/>
          <w:sz w:val="32"/>
          <w:szCs w:val="32"/>
        </w:rPr>
        <w:t>医疗器械</w:t>
      </w:r>
      <w:r>
        <w:rPr>
          <w:rFonts w:ascii="仿宋_GB2312" w:eastAsia="仿宋_GB2312"/>
          <w:color w:val="000000"/>
          <w:kern w:val="2"/>
          <w:sz w:val="32"/>
          <w:szCs w:val="32"/>
          <w:lang w:val="zh-CN"/>
        </w:rPr>
        <w:t>引起临床表现相似的、罕见的或未预期的事件，涉及人数超过50人（含）；或者引起严重不良事件（可能对人体造成永久性伤残、对器官功能造成永久性损伤或危及生命），涉及人数超过10人（含）；</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rPr>
        <w:t>②</w:t>
      </w:r>
      <w:r>
        <w:rPr>
          <w:rFonts w:ascii="仿宋_GB2312" w:eastAsia="仿宋_GB2312"/>
          <w:color w:val="000000"/>
          <w:kern w:val="2"/>
          <w:sz w:val="32"/>
          <w:szCs w:val="32"/>
          <w:lang w:val="zh-CN"/>
        </w:rPr>
        <w:t>同一批号药品、</w:t>
      </w:r>
      <w:r>
        <w:rPr>
          <w:rFonts w:ascii="仿宋_GB2312" w:eastAsia="仿宋_GB2312"/>
          <w:color w:val="000000"/>
          <w:kern w:val="2"/>
          <w:sz w:val="32"/>
          <w:szCs w:val="32"/>
        </w:rPr>
        <w:t>医疗器械</w:t>
      </w:r>
      <w:r>
        <w:rPr>
          <w:rFonts w:ascii="仿宋_GB2312" w:eastAsia="仿宋_GB2312"/>
          <w:color w:val="000000"/>
          <w:kern w:val="2"/>
          <w:sz w:val="32"/>
          <w:szCs w:val="32"/>
          <w:lang w:val="zh-CN"/>
        </w:rPr>
        <w:t>短期内引起3例（含）以上患者死亡；</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rPr>
        <w:t>③</w:t>
      </w:r>
      <w:r>
        <w:rPr>
          <w:rFonts w:ascii="仿宋_GB2312" w:eastAsia="仿宋_GB2312"/>
          <w:color w:val="000000"/>
          <w:kern w:val="2"/>
          <w:sz w:val="32"/>
          <w:szCs w:val="32"/>
          <w:lang w:val="zh-CN"/>
        </w:rPr>
        <w:t>短期内，2个以上省（自治区、直辖市）因同一药品、</w:t>
      </w:r>
      <w:r>
        <w:rPr>
          <w:rFonts w:ascii="仿宋_GB2312" w:eastAsia="仿宋_GB2312"/>
          <w:color w:val="000000"/>
          <w:kern w:val="2"/>
          <w:sz w:val="32"/>
          <w:szCs w:val="32"/>
        </w:rPr>
        <w:t>医疗器械</w:t>
      </w:r>
      <w:r>
        <w:rPr>
          <w:rFonts w:ascii="仿宋_GB2312" w:eastAsia="仿宋_GB2312"/>
          <w:color w:val="000000"/>
          <w:kern w:val="2"/>
          <w:sz w:val="32"/>
          <w:szCs w:val="32"/>
          <w:lang w:val="zh-CN"/>
        </w:rPr>
        <w:t>发生Ⅱ级药品、</w:t>
      </w:r>
      <w:r>
        <w:rPr>
          <w:rFonts w:ascii="仿宋_GB2312" w:eastAsia="仿宋_GB2312"/>
          <w:color w:val="000000"/>
          <w:kern w:val="2"/>
          <w:sz w:val="32"/>
          <w:szCs w:val="32"/>
        </w:rPr>
        <w:t>医疗器械</w:t>
      </w:r>
      <w:r>
        <w:rPr>
          <w:rFonts w:ascii="仿宋_GB2312" w:eastAsia="仿宋_GB2312"/>
          <w:color w:val="000000"/>
          <w:kern w:val="2"/>
          <w:sz w:val="32"/>
          <w:szCs w:val="32"/>
          <w:lang w:val="zh-CN"/>
        </w:rPr>
        <w:t>安全突发事件；</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rPr>
        <w:t>④</w:t>
      </w:r>
      <w:r>
        <w:rPr>
          <w:rFonts w:ascii="仿宋_GB2312" w:eastAsia="仿宋_GB2312"/>
          <w:color w:val="000000"/>
          <w:kern w:val="2"/>
          <w:sz w:val="32"/>
          <w:szCs w:val="32"/>
          <w:lang w:val="zh-CN"/>
        </w:rPr>
        <w:t>其他危害特别严重的药品、</w:t>
      </w:r>
      <w:r>
        <w:rPr>
          <w:rFonts w:ascii="仿宋_GB2312" w:eastAsia="仿宋_GB2312"/>
          <w:color w:val="000000"/>
          <w:kern w:val="2"/>
          <w:sz w:val="32"/>
          <w:szCs w:val="32"/>
        </w:rPr>
        <w:t>医疗器械</w:t>
      </w:r>
      <w:r>
        <w:rPr>
          <w:rFonts w:ascii="仿宋_GB2312" w:eastAsia="仿宋_GB2312"/>
          <w:color w:val="000000"/>
          <w:kern w:val="2"/>
          <w:sz w:val="32"/>
          <w:szCs w:val="32"/>
          <w:lang w:val="zh-CN"/>
        </w:rPr>
        <w:t>安全突发事件。</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w:t>
      </w:r>
      <w:r>
        <w:rPr>
          <w:rFonts w:ascii="仿宋_GB2312" w:eastAsia="仿宋_GB2312"/>
          <w:color w:val="000000"/>
          <w:kern w:val="2"/>
          <w:sz w:val="32"/>
          <w:szCs w:val="32"/>
        </w:rPr>
        <w:t>2）</w:t>
      </w:r>
      <w:r>
        <w:rPr>
          <w:rFonts w:ascii="仿宋_GB2312" w:eastAsia="仿宋_GB2312"/>
          <w:color w:val="000000"/>
          <w:kern w:val="2"/>
          <w:sz w:val="32"/>
          <w:szCs w:val="32"/>
          <w:lang w:val="zh-CN"/>
        </w:rPr>
        <w:t>符合下列情形之一的，为Ⅱ级（重大）</w:t>
      </w:r>
      <w:r>
        <w:rPr>
          <w:rFonts w:ascii="仿宋_GB2312" w:eastAsia="仿宋_GB2312"/>
          <w:color w:val="000000"/>
          <w:kern w:val="2"/>
          <w:sz w:val="32"/>
          <w:szCs w:val="32"/>
        </w:rPr>
        <w:t>事件</w:t>
      </w:r>
      <w:r>
        <w:rPr>
          <w:rFonts w:ascii="仿宋_GB2312" w:eastAsia="仿宋_GB2312"/>
          <w:color w:val="000000"/>
          <w:kern w:val="2"/>
          <w:sz w:val="32"/>
          <w:szCs w:val="32"/>
          <w:lang w:val="zh-CN"/>
        </w:rPr>
        <w:t>：</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rPr>
        <w:t>①</w:t>
      </w:r>
      <w:r>
        <w:rPr>
          <w:rFonts w:ascii="仿宋_GB2312" w:eastAsia="仿宋_GB2312"/>
          <w:color w:val="000000"/>
          <w:kern w:val="2"/>
          <w:sz w:val="32"/>
          <w:szCs w:val="32"/>
          <w:lang w:val="zh-CN"/>
        </w:rPr>
        <w:t>在相对集中的时间、区域内，批号相对集中的同一药品、</w:t>
      </w:r>
      <w:r>
        <w:rPr>
          <w:rFonts w:ascii="仿宋_GB2312" w:eastAsia="仿宋_GB2312"/>
          <w:color w:val="000000"/>
          <w:kern w:val="2"/>
          <w:sz w:val="32"/>
          <w:szCs w:val="32"/>
        </w:rPr>
        <w:t>医疗器械</w:t>
      </w:r>
      <w:r>
        <w:rPr>
          <w:rFonts w:ascii="仿宋_GB2312" w:eastAsia="仿宋_GB2312"/>
          <w:color w:val="000000"/>
          <w:kern w:val="2"/>
          <w:sz w:val="32"/>
          <w:szCs w:val="32"/>
          <w:lang w:val="zh-CN"/>
        </w:rPr>
        <w:t>引起临床表现相似的、罕见的或未预期的不良</w:t>
      </w:r>
      <w:r>
        <w:rPr>
          <w:rFonts w:ascii="仿宋_GB2312" w:eastAsia="仿宋_GB2312"/>
          <w:color w:val="000000"/>
          <w:kern w:val="2"/>
          <w:sz w:val="32"/>
          <w:szCs w:val="32"/>
          <w:lang w:val="zh-CN"/>
        </w:rPr>
        <w:lastRenderedPageBreak/>
        <w:t>事件，涉及人数超过30人（含）、少于50人；或者引起严重不良事件，涉及人数超过5人（含）、少于10人；</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rPr>
        <w:t>②</w:t>
      </w:r>
      <w:r>
        <w:rPr>
          <w:rFonts w:ascii="仿宋_GB2312" w:eastAsia="仿宋_GB2312"/>
          <w:color w:val="000000"/>
          <w:kern w:val="2"/>
          <w:sz w:val="32"/>
          <w:szCs w:val="32"/>
          <w:lang w:val="zh-CN"/>
        </w:rPr>
        <w:t>同一批号药品、</w:t>
      </w:r>
      <w:r>
        <w:rPr>
          <w:rFonts w:ascii="仿宋_GB2312" w:eastAsia="仿宋_GB2312"/>
          <w:color w:val="000000"/>
          <w:kern w:val="2"/>
          <w:sz w:val="32"/>
          <w:szCs w:val="32"/>
        </w:rPr>
        <w:t>医疗器械</w:t>
      </w:r>
      <w:r>
        <w:rPr>
          <w:rFonts w:ascii="仿宋_GB2312" w:eastAsia="仿宋_GB2312"/>
          <w:color w:val="000000"/>
          <w:kern w:val="2"/>
          <w:sz w:val="32"/>
          <w:szCs w:val="32"/>
          <w:lang w:val="zh-CN"/>
        </w:rPr>
        <w:t>短期内引起1至2例患者死亡，且在同一区域内同时出现其他类似病例；</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rPr>
        <w:t>③</w:t>
      </w:r>
      <w:r>
        <w:rPr>
          <w:rFonts w:ascii="仿宋_GB2312" w:eastAsia="仿宋_GB2312"/>
          <w:color w:val="000000"/>
          <w:kern w:val="2"/>
          <w:sz w:val="32"/>
          <w:szCs w:val="32"/>
          <w:lang w:val="zh-CN"/>
        </w:rPr>
        <w:t>短期内，2个以上区因同一药品、</w:t>
      </w:r>
      <w:r>
        <w:rPr>
          <w:rFonts w:ascii="仿宋_GB2312" w:eastAsia="仿宋_GB2312"/>
          <w:color w:val="000000"/>
          <w:kern w:val="2"/>
          <w:sz w:val="32"/>
          <w:szCs w:val="32"/>
        </w:rPr>
        <w:t>医疗器械</w:t>
      </w:r>
      <w:r>
        <w:rPr>
          <w:rFonts w:ascii="仿宋_GB2312" w:eastAsia="仿宋_GB2312"/>
          <w:color w:val="000000"/>
          <w:kern w:val="2"/>
          <w:sz w:val="32"/>
          <w:szCs w:val="32"/>
          <w:lang w:val="zh-CN"/>
        </w:rPr>
        <w:t>发生Ⅲ级事件；</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rPr>
        <w:t>④</w:t>
      </w:r>
      <w:r>
        <w:rPr>
          <w:rFonts w:ascii="仿宋_GB2312" w:eastAsia="仿宋_GB2312"/>
          <w:color w:val="000000"/>
          <w:kern w:val="2"/>
          <w:sz w:val="32"/>
          <w:szCs w:val="32"/>
          <w:lang w:val="zh-CN"/>
        </w:rPr>
        <w:t>其他危害严重的药品、医疗器械安全突发事件。</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w:t>
      </w:r>
      <w:r>
        <w:rPr>
          <w:rFonts w:ascii="仿宋_GB2312" w:eastAsia="仿宋_GB2312"/>
          <w:color w:val="000000"/>
          <w:kern w:val="2"/>
          <w:sz w:val="32"/>
          <w:szCs w:val="32"/>
        </w:rPr>
        <w:t>3）</w:t>
      </w:r>
      <w:r>
        <w:rPr>
          <w:rFonts w:ascii="仿宋_GB2312" w:eastAsia="仿宋_GB2312"/>
          <w:color w:val="000000"/>
          <w:kern w:val="2"/>
          <w:sz w:val="32"/>
          <w:szCs w:val="32"/>
          <w:lang w:val="zh-CN"/>
        </w:rPr>
        <w:t>符合下列情形之一的，为Ⅲ级（较大）</w:t>
      </w:r>
      <w:r>
        <w:rPr>
          <w:rFonts w:ascii="仿宋_GB2312" w:eastAsia="仿宋_GB2312"/>
          <w:color w:val="000000"/>
          <w:kern w:val="2"/>
          <w:sz w:val="32"/>
          <w:szCs w:val="32"/>
        </w:rPr>
        <w:t>事件</w:t>
      </w:r>
      <w:r>
        <w:rPr>
          <w:rFonts w:ascii="仿宋_GB2312" w:eastAsia="仿宋_GB2312"/>
          <w:color w:val="000000"/>
          <w:kern w:val="2"/>
          <w:sz w:val="32"/>
          <w:szCs w:val="32"/>
          <w:lang w:val="zh-CN"/>
        </w:rPr>
        <w:t>：</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rPr>
        <w:t>①</w:t>
      </w:r>
      <w:r>
        <w:rPr>
          <w:rFonts w:ascii="仿宋_GB2312" w:eastAsia="仿宋_GB2312"/>
          <w:color w:val="000000"/>
          <w:kern w:val="2"/>
          <w:sz w:val="32"/>
          <w:szCs w:val="32"/>
          <w:lang w:val="zh-CN"/>
        </w:rPr>
        <w:t>在相对集中的时间、区域内，批号相对集中的同一药品、</w:t>
      </w:r>
      <w:r>
        <w:rPr>
          <w:rFonts w:ascii="仿宋_GB2312" w:eastAsia="仿宋_GB2312"/>
          <w:color w:val="000000"/>
          <w:kern w:val="2"/>
          <w:sz w:val="32"/>
          <w:szCs w:val="32"/>
        </w:rPr>
        <w:t>医疗器械</w:t>
      </w:r>
      <w:r>
        <w:rPr>
          <w:rFonts w:ascii="仿宋_GB2312" w:eastAsia="仿宋_GB2312"/>
          <w:color w:val="000000"/>
          <w:kern w:val="2"/>
          <w:sz w:val="32"/>
          <w:szCs w:val="32"/>
          <w:lang w:val="zh-CN"/>
        </w:rPr>
        <w:t>引起临床表现相似的、罕见的或未预期的不良事件，涉及人数超过20人（含）、少于30人；或者引起严重不良事件，涉及3至4人；</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rPr>
        <w:t>②</w:t>
      </w:r>
      <w:r>
        <w:rPr>
          <w:rFonts w:ascii="仿宋_GB2312" w:eastAsia="仿宋_GB2312"/>
          <w:color w:val="000000"/>
          <w:kern w:val="2"/>
          <w:sz w:val="32"/>
          <w:szCs w:val="32"/>
          <w:lang w:val="zh-CN"/>
        </w:rPr>
        <w:t>短期内，1个区内2个以上街道（乡镇）因同一药品、</w:t>
      </w:r>
      <w:r>
        <w:rPr>
          <w:rFonts w:ascii="仿宋_GB2312" w:eastAsia="仿宋_GB2312"/>
          <w:color w:val="000000"/>
          <w:kern w:val="2"/>
          <w:sz w:val="32"/>
          <w:szCs w:val="32"/>
        </w:rPr>
        <w:t>医疗器械</w:t>
      </w:r>
      <w:r>
        <w:rPr>
          <w:rFonts w:ascii="仿宋_GB2312" w:eastAsia="仿宋_GB2312"/>
          <w:color w:val="000000"/>
          <w:kern w:val="2"/>
          <w:sz w:val="32"/>
          <w:szCs w:val="32"/>
          <w:lang w:val="zh-CN"/>
        </w:rPr>
        <w:t>发生Ⅳ级药品、</w:t>
      </w:r>
      <w:r>
        <w:rPr>
          <w:rFonts w:ascii="仿宋_GB2312" w:eastAsia="仿宋_GB2312"/>
          <w:color w:val="000000"/>
          <w:kern w:val="2"/>
          <w:sz w:val="32"/>
          <w:szCs w:val="32"/>
        </w:rPr>
        <w:t>医疗器械</w:t>
      </w:r>
      <w:r>
        <w:rPr>
          <w:rFonts w:ascii="仿宋_GB2312" w:eastAsia="仿宋_GB2312"/>
          <w:color w:val="000000"/>
          <w:kern w:val="2"/>
          <w:sz w:val="32"/>
          <w:szCs w:val="32"/>
          <w:lang w:val="zh-CN"/>
        </w:rPr>
        <w:t>安全突发事件；</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rPr>
        <w:t>③</w:t>
      </w:r>
      <w:r>
        <w:rPr>
          <w:rFonts w:ascii="仿宋_GB2312" w:eastAsia="仿宋_GB2312"/>
          <w:color w:val="000000"/>
          <w:kern w:val="2"/>
          <w:sz w:val="32"/>
          <w:szCs w:val="32"/>
          <w:lang w:val="zh-CN"/>
        </w:rPr>
        <w:t>其他危害较大的药品、医疗器械安全突发事件。</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w:t>
      </w:r>
      <w:r>
        <w:rPr>
          <w:rFonts w:ascii="仿宋_GB2312" w:eastAsia="仿宋_GB2312"/>
          <w:color w:val="000000"/>
          <w:kern w:val="2"/>
          <w:sz w:val="32"/>
          <w:szCs w:val="32"/>
        </w:rPr>
        <w:t>4）</w:t>
      </w:r>
      <w:r>
        <w:rPr>
          <w:rFonts w:ascii="仿宋_GB2312" w:eastAsia="仿宋_GB2312"/>
          <w:color w:val="000000"/>
          <w:kern w:val="2"/>
          <w:sz w:val="32"/>
          <w:szCs w:val="32"/>
          <w:lang w:val="zh-CN"/>
        </w:rPr>
        <w:t>符合下列情形之一的，为Ⅳ级（一般）</w:t>
      </w:r>
      <w:r>
        <w:rPr>
          <w:rFonts w:ascii="仿宋_GB2312" w:eastAsia="仿宋_GB2312"/>
          <w:color w:val="000000"/>
          <w:kern w:val="2"/>
          <w:sz w:val="32"/>
          <w:szCs w:val="32"/>
        </w:rPr>
        <w:t>事件</w:t>
      </w:r>
      <w:r>
        <w:rPr>
          <w:rFonts w:ascii="仿宋_GB2312" w:eastAsia="仿宋_GB2312"/>
          <w:color w:val="000000"/>
          <w:kern w:val="2"/>
          <w:sz w:val="32"/>
          <w:szCs w:val="32"/>
          <w:lang w:val="zh-CN"/>
        </w:rPr>
        <w:t>：</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rPr>
        <w:t>①</w:t>
      </w:r>
      <w:r>
        <w:rPr>
          <w:rFonts w:ascii="仿宋_GB2312" w:eastAsia="仿宋_GB2312"/>
          <w:color w:val="000000"/>
          <w:kern w:val="2"/>
          <w:sz w:val="32"/>
          <w:szCs w:val="32"/>
          <w:lang w:val="zh-CN"/>
        </w:rPr>
        <w:t>在相对集中的时间、区域内，批号相对集中的同一药品、</w:t>
      </w:r>
      <w:r>
        <w:rPr>
          <w:rFonts w:ascii="仿宋_GB2312" w:eastAsia="仿宋_GB2312"/>
          <w:color w:val="000000"/>
          <w:kern w:val="2"/>
          <w:sz w:val="32"/>
          <w:szCs w:val="32"/>
        </w:rPr>
        <w:t>医疗器械</w:t>
      </w:r>
      <w:r>
        <w:rPr>
          <w:rFonts w:ascii="仿宋_GB2312" w:eastAsia="仿宋_GB2312"/>
          <w:color w:val="000000"/>
          <w:kern w:val="2"/>
          <w:sz w:val="32"/>
          <w:szCs w:val="32"/>
          <w:lang w:val="zh-CN"/>
        </w:rPr>
        <w:t>引起临床表现相似的、罕见的或未预期的不良事件，涉及人数超过10人（含）、少于20人；或者引起严重不良事件，涉及2人；</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②</w:t>
      </w:r>
      <w:r>
        <w:rPr>
          <w:rFonts w:ascii="仿宋_GB2312" w:eastAsia="仿宋_GB2312"/>
          <w:color w:val="000000"/>
          <w:kern w:val="2"/>
          <w:sz w:val="32"/>
          <w:szCs w:val="32"/>
          <w:lang w:val="zh-CN"/>
        </w:rPr>
        <w:t>其他一般药品、医疗器械安全突发事件。</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2.事件分级响应</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根据事件的可控性、严重程度和影响范围，本保税区药品、医疗器械安全突发事件应急处置工作实行四级响应：</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7"/>
        <w:gridCol w:w="7146"/>
        <w:gridCol w:w="1462"/>
      </w:tblGrid>
      <w:tr w:rsidR="009F3957" w:rsidTr="00EE43BB">
        <w:trPr>
          <w:trHeight w:val="20"/>
          <w:tblHeader/>
          <w:jc w:val="center"/>
        </w:trPr>
        <w:tc>
          <w:tcPr>
            <w:tcW w:w="807" w:type="dxa"/>
            <w:vAlign w:val="center"/>
          </w:tcPr>
          <w:p w:rsidR="009F3957" w:rsidRDefault="009F3957" w:rsidP="00EE43BB">
            <w:pPr>
              <w:pStyle w:val="HTML"/>
              <w:spacing w:line="400" w:lineRule="exact"/>
              <w:jc w:val="center"/>
              <w:rPr>
                <w:rFonts w:ascii="黑体" w:eastAsia="黑体" w:hAnsi="黑体" w:cs="黑体"/>
                <w:color w:val="000000"/>
                <w:kern w:val="2"/>
                <w:sz w:val="30"/>
                <w:szCs w:val="30"/>
              </w:rPr>
            </w:pPr>
            <w:r>
              <w:rPr>
                <w:rFonts w:ascii="黑体" w:eastAsia="黑体" w:hAnsi="黑体" w:cs="黑体"/>
                <w:color w:val="000000"/>
                <w:kern w:val="2"/>
                <w:sz w:val="30"/>
                <w:szCs w:val="30"/>
              </w:rPr>
              <w:lastRenderedPageBreak/>
              <w:t>级别</w:t>
            </w:r>
          </w:p>
        </w:tc>
        <w:tc>
          <w:tcPr>
            <w:tcW w:w="7146" w:type="dxa"/>
            <w:vAlign w:val="center"/>
          </w:tcPr>
          <w:p w:rsidR="009F3957" w:rsidRDefault="009F3957" w:rsidP="00EE43BB">
            <w:pPr>
              <w:pStyle w:val="HTML"/>
              <w:spacing w:line="400" w:lineRule="exact"/>
              <w:ind w:firstLineChars="200" w:firstLine="600"/>
              <w:jc w:val="center"/>
              <w:rPr>
                <w:rFonts w:ascii="黑体" w:eastAsia="黑体" w:hAnsi="黑体" w:cs="黑体"/>
                <w:color w:val="000000"/>
                <w:kern w:val="2"/>
                <w:sz w:val="30"/>
                <w:szCs w:val="30"/>
              </w:rPr>
            </w:pPr>
            <w:r>
              <w:rPr>
                <w:rFonts w:ascii="黑体" w:eastAsia="黑体" w:hAnsi="黑体" w:cs="黑体"/>
                <w:color w:val="000000"/>
                <w:kern w:val="2"/>
                <w:sz w:val="30"/>
                <w:szCs w:val="30"/>
              </w:rPr>
              <w:t>分级标准</w:t>
            </w:r>
          </w:p>
        </w:tc>
        <w:tc>
          <w:tcPr>
            <w:tcW w:w="1462" w:type="dxa"/>
            <w:vAlign w:val="center"/>
          </w:tcPr>
          <w:p w:rsidR="009F3957" w:rsidRDefault="009F3957" w:rsidP="00EE43BB">
            <w:pPr>
              <w:pStyle w:val="HTML"/>
              <w:spacing w:line="400" w:lineRule="exact"/>
              <w:jc w:val="center"/>
              <w:rPr>
                <w:rFonts w:ascii="黑体" w:eastAsia="黑体" w:hAnsi="黑体" w:cs="黑体"/>
                <w:color w:val="000000"/>
                <w:kern w:val="2"/>
                <w:sz w:val="30"/>
                <w:szCs w:val="30"/>
              </w:rPr>
            </w:pPr>
            <w:r>
              <w:rPr>
                <w:rFonts w:ascii="黑体" w:eastAsia="黑体" w:hAnsi="黑体" w:cs="黑体"/>
                <w:color w:val="000000"/>
                <w:kern w:val="2"/>
                <w:sz w:val="30"/>
                <w:szCs w:val="30"/>
              </w:rPr>
              <w:t>相应</w:t>
            </w:r>
          </w:p>
          <w:p w:rsidR="009F3957" w:rsidRDefault="009F3957" w:rsidP="00EE43BB">
            <w:pPr>
              <w:pStyle w:val="HTML"/>
              <w:spacing w:line="400" w:lineRule="exact"/>
              <w:jc w:val="center"/>
              <w:rPr>
                <w:rFonts w:ascii="黑体" w:eastAsia="黑体" w:hAnsi="黑体" w:cs="黑体"/>
                <w:color w:val="000000"/>
                <w:kern w:val="2"/>
                <w:sz w:val="30"/>
                <w:szCs w:val="30"/>
              </w:rPr>
            </w:pPr>
            <w:r>
              <w:rPr>
                <w:rFonts w:ascii="黑体" w:eastAsia="黑体" w:hAnsi="黑体" w:cs="黑体"/>
                <w:color w:val="000000"/>
                <w:kern w:val="2"/>
                <w:sz w:val="30"/>
                <w:szCs w:val="30"/>
              </w:rPr>
              <w:t>级别</w:t>
            </w:r>
          </w:p>
        </w:tc>
      </w:tr>
      <w:tr w:rsidR="009F3957" w:rsidTr="00EE43BB">
        <w:trPr>
          <w:trHeight w:val="20"/>
          <w:jc w:val="center"/>
        </w:trPr>
        <w:tc>
          <w:tcPr>
            <w:tcW w:w="807" w:type="dxa"/>
            <w:vAlign w:val="center"/>
          </w:tcPr>
          <w:p w:rsidR="009F3957" w:rsidRDefault="009F3957" w:rsidP="00EE43BB">
            <w:pPr>
              <w:pStyle w:val="HTML"/>
              <w:spacing w:line="440" w:lineRule="exact"/>
              <w:jc w:val="center"/>
              <w:rPr>
                <w:rFonts w:ascii="仿宋_GB2312" w:eastAsia="仿宋_GB2312"/>
                <w:color w:val="000000"/>
                <w:kern w:val="2"/>
                <w:sz w:val="30"/>
                <w:szCs w:val="30"/>
              </w:rPr>
            </w:pPr>
            <w:r>
              <w:rPr>
                <w:rFonts w:ascii="仿宋_GB2312" w:eastAsia="仿宋_GB2312"/>
                <w:color w:val="000000"/>
                <w:kern w:val="2"/>
                <w:sz w:val="30"/>
                <w:szCs w:val="30"/>
              </w:rPr>
              <w:t>特别重大药品安全突发事件</w:t>
            </w:r>
          </w:p>
        </w:tc>
        <w:tc>
          <w:tcPr>
            <w:tcW w:w="7146" w:type="dxa"/>
            <w:vAlign w:val="center"/>
          </w:tcPr>
          <w:p w:rsidR="009F3957" w:rsidRDefault="009F3957" w:rsidP="00EE43BB">
            <w:pPr>
              <w:pStyle w:val="HTML"/>
              <w:spacing w:line="440" w:lineRule="exact"/>
              <w:ind w:firstLineChars="200" w:firstLine="600"/>
              <w:jc w:val="both"/>
              <w:rPr>
                <w:rFonts w:ascii="仿宋_GB2312" w:eastAsia="仿宋_GB2312"/>
                <w:color w:val="000000"/>
                <w:kern w:val="2"/>
                <w:sz w:val="30"/>
                <w:szCs w:val="30"/>
              </w:rPr>
            </w:pPr>
            <w:r>
              <w:rPr>
                <w:rFonts w:ascii="仿宋_GB2312" w:eastAsia="仿宋_GB2312"/>
                <w:color w:val="000000"/>
                <w:kern w:val="2"/>
                <w:sz w:val="30"/>
                <w:szCs w:val="30"/>
              </w:rPr>
              <w:t>①在相对集中的时间、区域内，批号相对集中的同一药品、医疗器械引起临床表现相似的、罕见的或未预期的事件，涉及人数超过50人（含）；或者引起严重不良事件（可能对人体造成永久性伤残、对器官功能造成永久性损伤或危及生命），涉及人数超过10人（含）；</w:t>
            </w:r>
          </w:p>
          <w:p w:rsidR="009F3957" w:rsidRDefault="009F3957" w:rsidP="00EE43BB">
            <w:pPr>
              <w:pStyle w:val="HTML"/>
              <w:spacing w:line="440" w:lineRule="exact"/>
              <w:ind w:firstLineChars="200" w:firstLine="600"/>
              <w:jc w:val="both"/>
              <w:rPr>
                <w:rFonts w:ascii="仿宋_GB2312" w:eastAsia="仿宋_GB2312"/>
                <w:color w:val="000000"/>
                <w:kern w:val="2"/>
                <w:sz w:val="30"/>
                <w:szCs w:val="30"/>
              </w:rPr>
            </w:pPr>
            <w:r>
              <w:rPr>
                <w:rFonts w:ascii="仿宋_GB2312" w:eastAsia="仿宋_GB2312"/>
                <w:color w:val="000000"/>
                <w:kern w:val="2"/>
                <w:sz w:val="30"/>
                <w:szCs w:val="30"/>
              </w:rPr>
              <w:t>②同一批号药品、医疗器械短期内引起3例（含）以上患者死亡；</w:t>
            </w:r>
          </w:p>
          <w:p w:rsidR="009F3957" w:rsidRDefault="009F3957" w:rsidP="00EE43BB">
            <w:pPr>
              <w:pStyle w:val="HTML"/>
              <w:spacing w:line="440" w:lineRule="exact"/>
              <w:ind w:firstLineChars="200" w:firstLine="600"/>
              <w:jc w:val="both"/>
              <w:rPr>
                <w:rFonts w:ascii="仿宋_GB2312" w:eastAsia="仿宋_GB2312"/>
                <w:color w:val="000000"/>
                <w:kern w:val="2"/>
                <w:sz w:val="30"/>
                <w:szCs w:val="30"/>
              </w:rPr>
            </w:pPr>
            <w:r>
              <w:rPr>
                <w:rFonts w:ascii="仿宋_GB2312" w:eastAsia="仿宋_GB2312"/>
                <w:color w:val="000000"/>
                <w:kern w:val="2"/>
                <w:sz w:val="30"/>
                <w:szCs w:val="30"/>
              </w:rPr>
              <w:t>③短期内，2个以上省（自治区、直辖市）因同一药品、医疗器械发生Ⅱ级药品、医疗器械安全突发事件；</w:t>
            </w:r>
          </w:p>
          <w:p w:rsidR="009F3957" w:rsidRDefault="009F3957" w:rsidP="00EE43BB">
            <w:pPr>
              <w:pStyle w:val="HTML"/>
              <w:spacing w:line="440" w:lineRule="exact"/>
              <w:ind w:firstLineChars="200" w:firstLine="600"/>
              <w:jc w:val="both"/>
              <w:rPr>
                <w:rFonts w:ascii="仿宋_GB2312" w:eastAsia="仿宋_GB2312"/>
                <w:color w:val="000000"/>
                <w:kern w:val="2"/>
                <w:sz w:val="30"/>
                <w:szCs w:val="30"/>
              </w:rPr>
            </w:pPr>
            <w:r>
              <w:rPr>
                <w:rFonts w:ascii="仿宋_GB2312" w:eastAsia="仿宋_GB2312"/>
                <w:color w:val="000000"/>
                <w:kern w:val="2"/>
                <w:sz w:val="30"/>
                <w:szCs w:val="30"/>
              </w:rPr>
              <w:t>④其他危害特别严重的药品、医疗器械安全突发事件。</w:t>
            </w:r>
          </w:p>
        </w:tc>
        <w:tc>
          <w:tcPr>
            <w:tcW w:w="1462" w:type="dxa"/>
            <w:vAlign w:val="center"/>
          </w:tcPr>
          <w:p w:rsidR="009F3957" w:rsidRDefault="009F3957" w:rsidP="00EE43BB">
            <w:pPr>
              <w:pStyle w:val="HTML"/>
              <w:spacing w:line="440" w:lineRule="exact"/>
              <w:jc w:val="center"/>
              <w:rPr>
                <w:rFonts w:ascii="仿宋_GB2312" w:eastAsia="仿宋_GB2312"/>
                <w:color w:val="000000"/>
                <w:kern w:val="2"/>
                <w:sz w:val="30"/>
                <w:szCs w:val="30"/>
              </w:rPr>
            </w:pPr>
            <w:r>
              <w:rPr>
                <w:rFonts w:ascii="仿宋_GB2312" w:eastAsia="仿宋_GB2312"/>
                <w:color w:val="000000"/>
                <w:kern w:val="2"/>
                <w:sz w:val="30"/>
                <w:szCs w:val="30"/>
              </w:rPr>
              <w:t>国家药监局启动Ⅰ级响应</w:t>
            </w:r>
          </w:p>
        </w:tc>
      </w:tr>
      <w:tr w:rsidR="009F3957" w:rsidTr="00EE43BB">
        <w:trPr>
          <w:trHeight w:val="20"/>
          <w:jc w:val="center"/>
        </w:trPr>
        <w:tc>
          <w:tcPr>
            <w:tcW w:w="807" w:type="dxa"/>
            <w:vAlign w:val="center"/>
          </w:tcPr>
          <w:p w:rsidR="009F3957" w:rsidRDefault="009F3957" w:rsidP="00EE43BB">
            <w:pPr>
              <w:pStyle w:val="HTML"/>
              <w:spacing w:line="440" w:lineRule="exact"/>
              <w:jc w:val="center"/>
              <w:rPr>
                <w:rFonts w:ascii="仿宋_GB2312" w:eastAsia="仿宋_GB2312"/>
                <w:color w:val="000000"/>
                <w:kern w:val="2"/>
                <w:sz w:val="30"/>
                <w:szCs w:val="30"/>
              </w:rPr>
            </w:pPr>
            <w:r>
              <w:rPr>
                <w:rFonts w:ascii="仿宋_GB2312" w:eastAsia="仿宋_GB2312"/>
                <w:color w:val="000000"/>
                <w:kern w:val="2"/>
                <w:sz w:val="30"/>
                <w:szCs w:val="30"/>
              </w:rPr>
              <w:t>重大药品安全突发事件</w:t>
            </w:r>
          </w:p>
        </w:tc>
        <w:tc>
          <w:tcPr>
            <w:tcW w:w="7146" w:type="dxa"/>
            <w:vAlign w:val="center"/>
          </w:tcPr>
          <w:p w:rsidR="009F3957" w:rsidRDefault="009F3957" w:rsidP="00EE43BB">
            <w:pPr>
              <w:pStyle w:val="HTML"/>
              <w:spacing w:line="440" w:lineRule="exact"/>
              <w:ind w:firstLineChars="200" w:firstLine="600"/>
              <w:jc w:val="both"/>
              <w:rPr>
                <w:rFonts w:ascii="仿宋_GB2312" w:eastAsia="仿宋_GB2312"/>
                <w:color w:val="000000"/>
                <w:kern w:val="2"/>
                <w:sz w:val="30"/>
                <w:szCs w:val="30"/>
              </w:rPr>
            </w:pPr>
            <w:r>
              <w:rPr>
                <w:rFonts w:ascii="仿宋_GB2312" w:eastAsia="仿宋_GB2312"/>
                <w:color w:val="000000"/>
                <w:kern w:val="2"/>
                <w:sz w:val="30"/>
                <w:szCs w:val="30"/>
              </w:rPr>
              <w:t>①在相对集中的时间、区域内，批号相对集中的同一药品、医疗器械引起临床表现相似的、罕见的或未预期的不良事件，涉及人数超过30人（含）、少于50人；或者引起严重不良事件，涉及人数超过5人（含）、少于10人；</w:t>
            </w:r>
          </w:p>
          <w:p w:rsidR="009F3957" w:rsidRDefault="009F3957" w:rsidP="00EE43BB">
            <w:pPr>
              <w:pStyle w:val="HTML"/>
              <w:spacing w:line="440" w:lineRule="exact"/>
              <w:ind w:firstLineChars="200" w:firstLine="600"/>
              <w:jc w:val="both"/>
              <w:rPr>
                <w:rFonts w:ascii="仿宋_GB2312" w:eastAsia="仿宋_GB2312"/>
                <w:color w:val="000000"/>
                <w:kern w:val="2"/>
                <w:sz w:val="30"/>
                <w:szCs w:val="30"/>
              </w:rPr>
            </w:pPr>
            <w:r>
              <w:rPr>
                <w:rFonts w:ascii="仿宋_GB2312" w:eastAsia="仿宋_GB2312"/>
                <w:color w:val="000000"/>
                <w:kern w:val="2"/>
                <w:sz w:val="30"/>
                <w:szCs w:val="30"/>
              </w:rPr>
              <w:t>②同一批号药品、医疗器械短期内引起1至2例患者死亡，且在同一区域内同时出现其他类似病例；</w:t>
            </w:r>
          </w:p>
          <w:p w:rsidR="009F3957" w:rsidRDefault="009F3957" w:rsidP="00EE43BB">
            <w:pPr>
              <w:pStyle w:val="HTML"/>
              <w:spacing w:line="440" w:lineRule="exact"/>
              <w:ind w:firstLineChars="200" w:firstLine="600"/>
              <w:jc w:val="both"/>
              <w:rPr>
                <w:rFonts w:ascii="仿宋_GB2312" w:eastAsia="仿宋_GB2312"/>
                <w:color w:val="000000"/>
                <w:kern w:val="2"/>
                <w:sz w:val="30"/>
                <w:szCs w:val="30"/>
              </w:rPr>
            </w:pPr>
            <w:r>
              <w:rPr>
                <w:rFonts w:ascii="仿宋_GB2312" w:eastAsia="仿宋_GB2312"/>
                <w:color w:val="000000"/>
                <w:kern w:val="2"/>
                <w:sz w:val="30"/>
                <w:szCs w:val="30"/>
              </w:rPr>
              <w:t>③短期内，2个以上区因同一药品、医疗器械发生Ⅲ级事件；</w:t>
            </w:r>
          </w:p>
          <w:p w:rsidR="009F3957" w:rsidRDefault="009F3957" w:rsidP="00EE43BB">
            <w:pPr>
              <w:pStyle w:val="HTML"/>
              <w:spacing w:line="440" w:lineRule="exact"/>
              <w:ind w:firstLineChars="200" w:firstLine="600"/>
              <w:jc w:val="both"/>
              <w:rPr>
                <w:rFonts w:ascii="仿宋_GB2312" w:eastAsia="仿宋_GB2312"/>
                <w:color w:val="000000"/>
                <w:kern w:val="2"/>
                <w:sz w:val="30"/>
                <w:szCs w:val="30"/>
              </w:rPr>
            </w:pPr>
            <w:r>
              <w:rPr>
                <w:rFonts w:ascii="仿宋_GB2312" w:eastAsia="仿宋_GB2312"/>
                <w:color w:val="000000"/>
                <w:kern w:val="2"/>
                <w:sz w:val="30"/>
                <w:szCs w:val="30"/>
              </w:rPr>
              <w:t>④其他危害严重的药品、医疗器械安全突发事件。</w:t>
            </w:r>
          </w:p>
        </w:tc>
        <w:tc>
          <w:tcPr>
            <w:tcW w:w="1462" w:type="dxa"/>
            <w:vAlign w:val="center"/>
          </w:tcPr>
          <w:p w:rsidR="009F3957" w:rsidRDefault="009F3957" w:rsidP="00EE43BB">
            <w:pPr>
              <w:pStyle w:val="HTML"/>
              <w:spacing w:line="440" w:lineRule="exact"/>
              <w:jc w:val="center"/>
              <w:rPr>
                <w:rFonts w:ascii="仿宋_GB2312" w:eastAsia="仿宋_GB2312"/>
                <w:color w:val="000000"/>
                <w:kern w:val="2"/>
                <w:sz w:val="30"/>
                <w:szCs w:val="30"/>
              </w:rPr>
            </w:pPr>
            <w:r>
              <w:rPr>
                <w:rFonts w:ascii="仿宋_GB2312" w:eastAsia="仿宋_GB2312"/>
                <w:color w:val="000000"/>
                <w:kern w:val="2"/>
                <w:sz w:val="30"/>
                <w:szCs w:val="30"/>
              </w:rPr>
              <w:t>市政府（市药监局）启动Ⅱ级响应</w:t>
            </w:r>
          </w:p>
        </w:tc>
      </w:tr>
      <w:tr w:rsidR="009F3957" w:rsidTr="00EE43BB">
        <w:trPr>
          <w:trHeight w:val="20"/>
          <w:jc w:val="center"/>
        </w:trPr>
        <w:tc>
          <w:tcPr>
            <w:tcW w:w="807" w:type="dxa"/>
            <w:vAlign w:val="center"/>
          </w:tcPr>
          <w:p w:rsidR="009F3957" w:rsidRDefault="009F3957" w:rsidP="00EE43BB">
            <w:pPr>
              <w:pStyle w:val="HTML"/>
              <w:spacing w:line="440" w:lineRule="exact"/>
              <w:jc w:val="center"/>
              <w:rPr>
                <w:rFonts w:ascii="仿宋_GB2312" w:eastAsia="仿宋_GB2312"/>
                <w:color w:val="000000"/>
                <w:kern w:val="2"/>
                <w:sz w:val="30"/>
                <w:szCs w:val="30"/>
              </w:rPr>
            </w:pPr>
            <w:r>
              <w:rPr>
                <w:rFonts w:ascii="仿宋_GB2312" w:eastAsia="仿宋_GB2312"/>
                <w:color w:val="000000"/>
                <w:kern w:val="2"/>
                <w:sz w:val="30"/>
                <w:szCs w:val="30"/>
              </w:rPr>
              <w:t>较大药品安全</w:t>
            </w:r>
            <w:r>
              <w:rPr>
                <w:rFonts w:ascii="仿宋_GB2312" w:eastAsia="仿宋_GB2312"/>
                <w:color w:val="000000"/>
                <w:kern w:val="2"/>
                <w:sz w:val="30"/>
                <w:szCs w:val="30"/>
              </w:rPr>
              <w:lastRenderedPageBreak/>
              <w:t>突发事件</w:t>
            </w:r>
          </w:p>
        </w:tc>
        <w:tc>
          <w:tcPr>
            <w:tcW w:w="7146" w:type="dxa"/>
            <w:vAlign w:val="center"/>
          </w:tcPr>
          <w:p w:rsidR="009F3957" w:rsidRDefault="009F3957" w:rsidP="00EE43BB">
            <w:pPr>
              <w:pStyle w:val="HTML"/>
              <w:spacing w:line="440" w:lineRule="exact"/>
              <w:ind w:firstLineChars="200" w:firstLine="600"/>
              <w:jc w:val="both"/>
              <w:rPr>
                <w:rFonts w:ascii="仿宋_GB2312" w:eastAsia="仿宋_GB2312"/>
                <w:color w:val="000000"/>
                <w:kern w:val="2"/>
                <w:sz w:val="30"/>
                <w:szCs w:val="30"/>
              </w:rPr>
            </w:pPr>
            <w:r>
              <w:rPr>
                <w:rFonts w:ascii="仿宋_GB2312" w:eastAsia="仿宋_GB2312"/>
                <w:color w:val="000000"/>
                <w:kern w:val="2"/>
                <w:sz w:val="30"/>
                <w:szCs w:val="30"/>
              </w:rPr>
              <w:lastRenderedPageBreak/>
              <w:t>①在相对集中的时间、区域内，批号相对集中的同一药品、医疗器械引起临床表现相似的、罕见的或未预期的不良事件，涉及人数超过20人（含）、少于30人；或者引起严重不良事件，涉及3至4人；</w:t>
            </w:r>
          </w:p>
          <w:p w:rsidR="009F3957" w:rsidRDefault="009F3957" w:rsidP="00EE43BB">
            <w:pPr>
              <w:pStyle w:val="HTML"/>
              <w:spacing w:line="440" w:lineRule="exact"/>
              <w:ind w:firstLineChars="200" w:firstLine="600"/>
              <w:jc w:val="both"/>
              <w:rPr>
                <w:rFonts w:ascii="仿宋_GB2312" w:eastAsia="仿宋_GB2312"/>
                <w:color w:val="000000"/>
                <w:kern w:val="2"/>
                <w:sz w:val="30"/>
                <w:szCs w:val="30"/>
              </w:rPr>
            </w:pPr>
            <w:r>
              <w:rPr>
                <w:rFonts w:ascii="仿宋_GB2312" w:eastAsia="仿宋_GB2312"/>
                <w:color w:val="000000"/>
                <w:kern w:val="2"/>
                <w:sz w:val="30"/>
                <w:szCs w:val="30"/>
              </w:rPr>
              <w:t>②短期内，1个区内2个以上街道（乡镇）因同一药品、医疗器械发生Ⅳ级药品、医疗器械安全突发</w:t>
            </w:r>
            <w:r>
              <w:rPr>
                <w:rFonts w:ascii="仿宋_GB2312" w:eastAsia="仿宋_GB2312"/>
                <w:color w:val="000000"/>
                <w:kern w:val="2"/>
                <w:sz w:val="30"/>
                <w:szCs w:val="30"/>
              </w:rPr>
              <w:lastRenderedPageBreak/>
              <w:t>事件；</w:t>
            </w:r>
          </w:p>
          <w:p w:rsidR="009F3957" w:rsidRDefault="009F3957" w:rsidP="00EE43BB">
            <w:pPr>
              <w:pStyle w:val="HTML"/>
              <w:spacing w:line="440" w:lineRule="exact"/>
              <w:ind w:firstLineChars="200" w:firstLine="600"/>
              <w:jc w:val="both"/>
              <w:rPr>
                <w:rFonts w:ascii="仿宋_GB2312" w:eastAsia="仿宋_GB2312"/>
                <w:color w:val="000000"/>
                <w:kern w:val="2"/>
                <w:sz w:val="30"/>
                <w:szCs w:val="30"/>
              </w:rPr>
            </w:pPr>
            <w:r>
              <w:rPr>
                <w:rFonts w:ascii="仿宋_GB2312" w:eastAsia="仿宋_GB2312"/>
                <w:color w:val="000000"/>
                <w:kern w:val="2"/>
                <w:sz w:val="30"/>
                <w:szCs w:val="30"/>
              </w:rPr>
              <w:t>③其他危害较大的药品、医疗器械安全突发事件。</w:t>
            </w:r>
          </w:p>
        </w:tc>
        <w:tc>
          <w:tcPr>
            <w:tcW w:w="1462" w:type="dxa"/>
            <w:vAlign w:val="center"/>
          </w:tcPr>
          <w:p w:rsidR="009F3957" w:rsidRDefault="009F3957" w:rsidP="00EE43BB">
            <w:pPr>
              <w:pStyle w:val="HTML"/>
              <w:spacing w:line="440" w:lineRule="exact"/>
              <w:jc w:val="center"/>
              <w:rPr>
                <w:rFonts w:ascii="仿宋_GB2312" w:eastAsia="仿宋_GB2312"/>
                <w:color w:val="000000"/>
                <w:kern w:val="2"/>
                <w:sz w:val="30"/>
                <w:szCs w:val="30"/>
              </w:rPr>
            </w:pPr>
            <w:r>
              <w:rPr>
                <w:rFonts w:ascii="仿宋_GB2312" w:eastAsia="仿宋_GB2312"/>
                <w:color w:val="000000"/>
                <w:kern w:val="2"/>
                <w:sz w:val="30"/>
                <w:szCs w:val="30"/>
              </w:rPr>
              <w:lastRenderedPageBreak/>
              <w:t>区政府（区市场监管局）启动Ⅲ级响应</w:t>
            </w:r>
          </w:p>
        </w:tc>
      </w:tr>
      <w:tr w:rsidR="009F3957" w:rsidTr="00EE43BB">
        <w:trPr>
          <w:trHeight w:val="20"/>
          <w:jc w:val="center"/>
        </w:trPr>
        <w:tc>
          <w:tcPr>
            <w:tcW w:w="807" w:type="dxa"/>
            <w:vAlign w:val="center"/>
          </w:tcPr>
          <w:p w:rsidR="009F3957" w:rsidRDefault="009F3957" w:rsidP="00EE43BB">
            <w:pPr>
              <w:pStyle w:val="HTML"/>
              <w:spacing w:line="440" w:lineRule="exact"/>
              <w:jc w:val="center"/>
              <w:rPr>
                <w:rFonts w:ascii="仿宋_GB2312" w:eastAsia="仿宋_GB2312"/>
                <w:color w:val="000000"/>
                <w:kern w:val="2"/>
                <w:sz w:val="30"/>
                <w:szCs w:val="30"/>
              </w:rPr>
            </w:pPr>
            <w:r>
              <w:rPr>
                <w:rFonts w:ascii="仿宋_GB2312" w:eastAsia="仿宋_GB2312"/>
                <w:color w:val="000000"/>
                <w:kern w:val="2"/>
                <w:sz w:val="30"/>
                <w:szCs w:val="30"/>
              </w:rPr>
              <w:lastRenderedPageBreak/>
              <w:t>一般药品安全突发事件</w:t>
            </w:r>
          </w:p>
        </w:tc>
        <w:tc>
          <w:tcPr>
            <w:tcW w:w="7146" w:type="dxa"/>
            <w:vAlign w:val="center"/>
          </w:tcPr>
          <w:p w:rsidR="009F3957" w:rsidRDefault="009F3957" w:rsidP="00EE43BB">
            <w:pPr>
              <w:pStyle w:val="HTML"/>
              <w:spacing w:line="440" w:lineRule="exact"/>
              <w:ind w:firstLineChars="200" w:firstLine="600"/>
              <w:jc w:val="both"/>
              <w:rPr>
                <w:rFonts w:ascii="仿宋_GB2312" w:eastAsia="仿宋_GB2312"/>
                <w:color w:val="000000"/>
                <w:kern w:val="2"/>
                <w:sz w:val="30"/>
                <w:szCs w:val="30"/>
              </w:rPr>
            </w:pPr>
            <w:r>
              <w:rPr>
                <w:rFonts w:ascii="仿宋_GB2312" w:eastAsia="仿宋_GB2312"/>
                <w:color w:val="000000"/>
                <w:kern w:val="2"/>
                <w:sz w:val="30"/>
                <w:szCs w:val="30"/>
              </w:rPr>
              <w:t>①在相对集中的时间、区域内，批号相对集中的同一药品、医疗器械引起临床表现相似的、罕见的或未预期的不良事件，涉及人数超过10人（含）、少于20人；或者引起严重不良事件，涉及2人；</w:t>
            </w:r>
          </w:p>
          <w:p w:rsidR="009F3957" w:rsidRDefault="009F3957" w:rsidP="00EE43BB">
            <w:pPr>
              <w:pStyle w:val="HTML"/>
              <w:spacing w:line="440" w:lineRule="exact"/>
              <w:ind w:firstLineChars="200" w:firstLine="600"/>
              <w:jc w:val="both"/>
              <w:rPr>
                <w:rFonts w:ascii="仿宋_GB2312" w:eastAsia="仿宋_GB2312"/>
                <w:color w:val="000000"/>
                <w:kern w:val="2"/>
                <w:sz w:val="30"/>
                <w:szCs w:val="30"/>
              </w:rPr>
            </w:pPr>
            <w:r>
              <w:rPr>
                <w:rFonts w:ascii="仿宋_GB2312" w:eastAsia="仿宋_GB2312"/>
                <w:color w:val="000000"/>
                <w:kern w:val="2"/>
                <w:sz w:val="30"/>
                <w:szCs w:val="30"/>
              </w:rPr>
              <w:t>②其他一般药品、医疗器械安全突发事件。</w:t>
            </w:r>
          </w:p>
        </w:tc>
        <w:tc>
          <w:tcPr>
            <w:tcW w:w="1462" w:type="dxa"/>
            <w:vAlign w:val="center"/>
          </w:tcPr>
          <w:p w:rsidR="009F3957" w:rsidRDefault="009F3957" w:rsidP="00EE43BB">
            <w:pPr>
              <w:pStyle w:val="HTML"/>
              <w:spacing w:line="440" w:lineRule="exact"/>
              <w:jc w:val="center"/>
              <w:rPr>
                <w:rFonts w:ascii="仿宋_GB2312" w:eastAsia="仿宋_GB2312"/>
                <w:color w:val="000000"/>
                <w:kern w:val="2"/>
                <w:sz w:val="30"/>
                <w:szCs w:val="30"/>
              </w:rPr>
            </w:pPr>
            <w:r>
              <w:rPr>
                <w:rFonts w:ascii="仿宋_GB2312" w:eastAsia="仿宋_GB2312"/>
                <w:color w:val="000000"/>
                <w:kern w:val="2"/>
                <w:sz w:val="30"/>
                <w:szCs w:val="30"/>
              </w:rPr>
              <w:t>区政府（区市场监管局）启动Ⅳ级响应</w:t>
            </w:r>
          </w:p>
        </w:tc>
      </w:tr>
    </w:tbl>
    <w:p w:rsidR="009F3957" w:rsidRDefault="009F3957" w:rsidP="009F3957">
      <w:pPr>
        <w:pStyle w:val="1"/>
        <w:autoSpaceDE w:val="0"/>
        <w:autoSpaceDN w:val="0"/>
        <w:adjustRightInd w:val="0"/>
        <w:spacing w:line="580" w:lineRule="exact"/>
        <w:ind w:firstLine="640"/>
        <w:rPr>
          <w:rFonts w:ascii="黑体" w:eastAsia="黑体" w:hAnsi="黑体" w:cs="黑体" w:hint="eastAsia"/>
          <w:bCs/>
          <w:color w:val="000000"/>
          <w:sz w:val="32"/>
          <w:szCs w:val="32"/>
        </w:rPr>
      </w:pPr>
      <w:r>
        <w:rPr>
          <w:rFonts w:ascii="黑体" w:eastAsia="黑体" w:hAnsi="黑体" w:cs="黑体" w:hint="eastAsia"/>
          <w:bCs/>
          <w:color w:val="000000"/>
          <w:sz w:val="32"/>
          <w:szCs w:val="32"/>
        </w:rPr>
        <w:t>二、组织体系</w:t>
      </w:r>
    </w:p>
    <w:p w:rsidR="009F3957" w:rsidRDefault="009F3957" w:rsidP="009F3957">
      <w:pPr>
        <w:pStyle w:val="2"/>
        <w:keepNext w:val="0"/>
        <w:keepLines w:val="0"/>
        <w:spacing w:line="56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（一）天津港保税区组织指挥体系</w:t>
      </w:r>
    </w:p>
    <w:p w:rsidR="009F3957" w:rsidRDefault="009F3957" w:rsidP="009F3957">
      <w:pPr>
        <w:pStyle w:val="HTML"/>
        <w:spacing w:line="58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rPr>
        <w:t>1.</w:t>
      </w:r>
      <w:r>
        <w:rPr>
          <w:rFonts w:ascii="仿宋_GB2312" w:eastAsia="仿宋_GB2312"/>
          <w:color w:val="000000"/>
          <w:kern w:val="2"/>
          <w:sz w:val="32"/>
          <w:szCs w:val="32"/>
          <w:lang w:val="zh-CN"/>
        </w:rPr>
        <w:t>领导机构</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设立天津港保税区药品、医疗器械安全突发事件应急指挥部（以下简称“区指挥部”），由天津港保税区分管副</w:t>
      </w:r>
      <w:r>
        <w:rPr>
          <w:rFonts w:ascii="仿宋_GB2312" w:eastAsia="仿宋_GB2312"/>
          <w:color w:val="000000"/>
          <w:kern w:val="2"/>
          <w:sz w:val="32"/>
          <w:szCs w:val="32"/>
        </w:rPr>
        <w:t>主任</w:t>
      </w:r>
      <w:r>
        <w:rPr>
          <w:rFonts w:ascii="仿宋_GB2312" w:eastAsia="仿宋_GB2312"/>
          <w:color w:val="000000"/>
          <w:kern w:val="2"/>
          <w:sz w:val="32"/>
          <w:szCs w:val="32"/>
          <w:lang w:val="zh-CN"/>
        </w:rPr>
        <w:t>任总指挥，</w:t>
      </w:r>
      <w:r>
        <w:rPr>
          <w:rFonts w:ascii="仿宋_GB2312" w:eastAsia="仿宋_GB2312"/>
          <w:color w:val="000000"/>
          <w:kern w:val="2"/>
          <w:sz w:val="32"/>
          <w:szCs w:val="32"/>
        </w:rPr>
        <w:t>市场监管局</w:t>
      </w:r>
      <w:r>
        <w:rPr>
          <w:rFonts w:ascii="仿宋_GB2312" w:eastAsia="仿宋_GB2312"/>
          <w:color w:val="000000"/>
          <w:kern w:val="2"/>
          <w:sz w:val="32"/>
          <w:szCs w:val="32"/>
          <w:lang w:val="zh-CN"/>
        </w:rPr>
        <w:t>主要负责人任副总指挥。负责贯彻落实保税区</w:t>
      </w:r>
      <w:r>
        <w:rPr>
          <w:rFonts w:ascii="仿宋_GB2312" w:eastAsia="仿宋_GB2312"/>
          <w:color w:val="000000"/>
          <w:kern w:val="2"/>
          <w:sz w:val="32"/>
          <w:szCs w:val="32"/>
        </w:rPr>
        <w:t>管委会</w:t>
      </w:r>
      <w:r>
        <w:rPr>
          <w:rFonts w:ascii="仿宋_GB2312" w:eastAsia="仿宋_GB2312"/>
          <w:color w:val="000000"/>
          <w:kern w:val="2"/>
          <w:sz w:val="32"/>
          <w:szCs w:val="32"/>
          <w:lang w:val="zh-CN"/>
        </w:rPr>
        <w:t>关于药品、医疗器械安全突发事件应对工作的方针、政策，承接</w:t>
      </w:r>
      <w:r>
        <w:rPr>
          <w:rFonts w:ascii="仿宋_GB2312" w:eastAsia="仿宋_GB2312"/>
          <w:color w:val="000000"/>
          <w:kern w:val="2"/>
          <w:sz w:val="32"/>
          <w:szCs w:val="32"/>
        </w:rPr>
        <w:t>滨海新区</w:t>
      </w:r>
      <w:r>
        <w:rPr>
          <w:rFonts w:ascii="仿宋_GB2312" w:eastAsia="仿宋_GB2312"/>
          <w:color w:val="000000"/>
          <w:kern w:val="2"/>
          <w:sz w:val="32"/>
          <w:szCs w:val="32"/>
          <w:lang w:val="zh-CN"/>
        </w:rPr>
        <w:t>应对药品、医疗器械安全突发事件工作部署，研究制定落实措施；部署本区行政区域内发生的药品、医疗器械安全突发事件应急处置工作，根据</w:t>
      </w:r>
      <w:r>
        <w:rPr>
          <w:rFonts w:ascii="仿宋_GB2312" w:eastAsia="仿宋_GB2312"/>
          <w:color w:val="000000"/>
          <w:kern w:val="2"/>
          <w:sz w:val="32"/>
          <w:szCs w:val="32"/>
        </w:rPr>
        <w:t>管委会</w:t>
      </w:r>
      <w:r>
        <w:rPr>
          <w:rFonts w:ascii="仿宋_GB2312" w:eastAsia="仿宋_GB2312"/>
          <w:color w:val="000000"/>
          <w:kern w:val="2"/>
          <w:sz w:val="32"/>
          <w:szCs w:val="32"/>
          <w:lang w:val="zh-CN"/>
        </w:rPr>
        <w:t>决策部署，由区指挥部组织领导各</w:t>
      </w:r>
      <w:r>
        <w:rPr>
          <w:rFonts w:ascii="仿宋_GB2312" w:eastAsia="仿宋_GB2312"/>
          <w:color w:val="000000"/>
          <w:kern w:val="2"/>
          <w:sz w:val="32"/>
          <w:szCs w:val="32"/>
        </w:rPr>
        <w:t>成员单位</w:t>
      </w:r>
      <w:r>
        <w:rPr>
          <w:rFonts w:ascii="仿宋_GB2312" w:eastAsia="仿宋_GB2312"/>
          <w:color w:val="000000"/>
          <w:kern w:val="2"/>
          <w:sz w:val="32"/>
          <w:szCs w:val="32"/>
          <w:lang w:val="zh-CN"/>
        </w:rPr>
        <w:t>开展应对药品、医疗器械安全突发事件应急处置工作。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rPr>
        <w:lastRenderedPageBreak/>
        <w:t>2.</w:t>
      </w:r>
      <w:r>
        <w:rPr>
          <w:rFonts w:ascii="仿宋_GB2312" w:eastAsia="仿宋_GB2312"/>
          <w:color w:val="000000"/>
          <w:kern w:val="2"/>
          <w:sz w:val="32"/>
          <w:szCs w:val="32"/>
          <w:lang w:val="zh-CN"/>
        </w:rPr>
        <w:t>办事机构</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区指挥部下设天津港保税区药品、医疗器械安全突发事件应急指挥部办公室（以下简称“区指挥部办公室”），设在</w:t>
      </w:r>
      <w:r>
        <w:rPr>
          <w:rFonts w:ascii="仿宋_GB2312" w:eastAsia="仿宋_GB2312"/>
          <w:color w:val="000000"/>
          <w:kern w:val="2"/>
          <w:sz w:val="32"/>
          <w:szCs w:val="32"/>
        </w:rPr>
        <w:t>市场监管局</w:t>
      </w:r>
      <w:r>
        <w:rPr>
          <w:rFonts w:ascii="仿宋_GB2312" w:eastAsia="仿宋_GB2312"/>
          <w:color w:val="000000"/>
          <w:kern w:val="2"/>
          <w:sz w:val="32"/>
          <w:szCs w:val="32"/>
          <w:lang w:val="zh-CN"/>
        </w:rPr>
        <w:t>。办公室主任由</w:t>
      </w:r>
      <w:r>
        <w:rPr>
          <w:rFonts w:ascii="仿宋_GB2312" w:eastAsia="仿宋_GB2312"/>
          <w:color w:val="000000"/>
          <w:kern w:val="2"/>
          <w:sz w:val="32"/>
          <w:szCs w:val="32"/>
        </w:rPr>
        <w:t>市场监管局</w:t>
      </w:r>
      <w:r>
        <w:rPr>
          <w:rFonts w:ascii="仿宋_GB2312" w:eastAsia="仿宋_GB2312"/>
          <w:color w:val="000000"/>
          <w:kern w:val="2"/>
          <w:sz w:val="32"/>
          <w:szCs w:val="32"/>
          <w:lang w:val="zh-CN"/>
        </w:rPr>
        <w:t>主要负责人兼任，副主任由</w:t>
      </w:r>
      <w:r>
        <w:rPr>
          <w:rFonts w:ascii="仿宋_GB2312" w:eastAsia="仿宋_GB2312"/>
          <w:color w:val="000000"/>
          <w:kern w:val="2"/>
          <w:sz w:val="32"/>
          <w:szCs w:val="32"/>
        </w:rPr>
        <w:t>市场监管局分管副局长</w:t>
      </w:r>
      <w:r>
        <w:rPr>
          <w:rFonts w:ascii="仿宋_GB2312" w:eastAsia="仿宋_GB2312"/>
          <w:color w:val="000000"/>
          <w:kern w:val="2"/>
          <w:sz w:val="32"/>
          <w:szCs w:val="32"/>
          <w:lang w:val="zh-CN"/>
        </w:rPr>
        <w:t>担任。区指挥部办公室负责开展药品、医疗器械安全突发事件应急预案编修，完善药品、医疗器械安全突发事件应急预案支撑文件，协调、指导成员单位开展药品、医疗器械安全突发事件应急处置工作。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rPr>
        <w:t>3.</w:t>
      </w:r>
      <w:r>
        <w:rPr>
          <w:rFonts w:ascii="仿宋_GB2312" w:eastAsia="仿宋_GB2312"/>
          <w:color w:val="000000"/>
          <w:kern w:val="2"/>
          <w:sz w:val="32"/>
          <w:szCs w:val="32"/>
          <w:lang w:val="zh-CN"/>
        </w:rPr>
        <w:t>成员单位及职责</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rPr>
        <w:t>党建部</w:t>
      </w:r>
      <w:r>
        <w:rPr>
          <w:rFonts w:ascii="仿宋_GB2312" w:eastAsia="仿宋_GB2312"/>
          <w:color w:val="000000"/>
          <w:kern w:val="2"/>
          <w:sz w:val="32"/>
          <w:szCs w:val="32"/>
          <w:lang w:val="zh-CN"/>
        </w:rPr>
        <w:t>：负责指导协调新闻媒体配合有关部门发布药品、医疗器械安全突发事件信息，负责协调药品、医疗器械安全突发事件应急处置宣传报道、舆情监测和舆论引导工作，坚持正面宣传为主；组织新闻媒体做好对外宣传工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市场监管局：负责区指挥部办公室日常工作，负责收集和上报药品、医疗器械安全突发事件信息；协调有关部门和单位开展应急处置工作；负责控制突发事件涉及的相关药品、医疗器械，并组织开展应急检验；组织召开专家组会议；查处事件中涉及的药品、医疗器械违法案件，及时向保税区管委会和滨海新区市场监管局报告情况，并通报有关部门和单位等；负责收集、评价、汇总各级药品不良反应监测机构（包括医疗器械不良事件监测机构、药物滥用监测机构）药品不良反应、医疗器械不良事件以及麻醉药品、精神药品滥用信息，定期进行研究分析，必要时提出预警建议；提出启动和终止药品、</w:t>
      </w:r>
      <w:r>
        <w:rPr>
          <w:rFonts w:ascii="仿宋_GB2312" w:eastAsia="仿宋_GB2312"/>
          <w:color w:val="000000"/>
          <w:kern w:val="2"/>
          <w:sz w:val="32"/>
          <w:szCs w:val="32"/>
        </w:rPr>
        <w:t>医疗器械</w:t>
      </w:r>
      <w:r>
        <w:rPr>
          <w:rFonts w:ascii="仿宋_GB2312" w:eastAsia="仿宋_GB2312"/>
          <w:color w:val="000000"/>
          <w:kern w:val="2"/>
          <w:sz w:val="32"/>
          <w:szCs w:val="32"/>
          <w:lang w:val="zh-CN"/>
        </w:rPr>
        <w:t>安全突发事件应急预案的建议。</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rPr>
        <w:t>社发</w:t>
      </w:r>
      <w:r>
        <w:rPr>
          <w:rFonts w:ascii="仿宋_GB2312" w:eastAsia="仿宋_GB2312"/>
          <w:color w:val="000000"/>
          <w:kern w:val="2"/>
          <w:sz w:val="32"/>
          <w:szCs w:val="32"/>
          <w:lang w:val="zh-CN"/>
        </w:rPr>
        <w:t>局：负责医疗卫生救援、现场流行病学调查、病源</w:t>
      </w:r>
      <w:r>
        <w:rPr>
          <w:rFonts w:ascii="仿宋_GB2312" w:eastAsia="仿宋_GB2312"/>
          <w:color w:val="000000"/>
          <w:kern w:val="2"/>
          <w:sz w:val="32"/>
          <w:szCs w:val="32"/>
          <w:lang w:val="zh-CN"/>
        </w:rPr>
        <w:lastRenderedPageBreak/>
        <w:t>学监测和病因及危险因素的分析工作，会同市场监管</w:t>
      </w:r>
      <w:r>
        <w:rPr>
          <w:rFonts w:ascii="仿宋_GB2312" w:eastAsia="仿宋_GB2312"/>
          <w:color w:val="000000"/>
          <w:kern w:val="2"/>
          <w:sz w:val="32"/>
          <w:szCs w:val="32"/>
        </w:rPr>
        <w:t>局</w:t>
      </w:r>
      <w:r>
        <w:rPr>
          <w:rFonts w:ascii="仿宋_GB2312" w:eastAsia="仿宋_GB2312"/>
          <w:color w:val="000000"/>
          <w:kern w:val="2"/>
          <w:sz w:val="32"/>
          <w:szCs w:val="32"/>
          <w:lang w:val="zh-CN"/>
        </w:rPr>
        <w:t>做好事件处置的相关工作；及时向市场监管局通报药品、医疗器械安全突发事件流行病学调查报告；配合遴选并组织专家论证；指导各级医疗机构做好病人的现场抢救、运送、诊断、治疗等相关工作；按规定及时上报药品不良反应、医疗器械不良事件报告。</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财政局：负责按照区指挥部意见，遵循应急事件处置工作程序来保障药品、医疗器械安全突发事件应急资金。</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辖区派出所：负责查办区指挥部交办，</w:t>
      </w:r>
      <w:r>
        <w:rPr>
          <w:rFonts w:ascii="仿宋_GB2312" w:eastAsia="仿宋_GB2312"/>
          <w:color w:val="000000"/>
          <w:kern w:val="2"/>
          <w:sz w:val="32"/>
          <w:szCs w:val="32"/>
        </w:rPr>
        <w:t>市场监管部门</w:t>
      </w:r>
      <w:r>
        <w:rPr>
          <w:rFonts w:ascii="仿宋_GB2312" w:eastAsia="仿宋_GB2312"/>
          <w:color w:val="000000"/>
          <w:kern w:val="2"/>
          <w:sz w:val="32"/>
          <w:szCs w:val="32"/>
          <w:lang w:val="zh-CN"/>
        </w:rPr>
        <w:t>移交和公安机关自侦的涉及药品和医疗器械案件（公安机关自侦案件应及时通报市场监管局）；配合开展对药品、医疗器械安全突发事件的调查；参与事件应急处置和治安维护，依法打击药品、医疗器械安全突发事件发生过程中的违法犯罪活动。</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规建局：负责配合市场监管局做好运输环节的药品、医疗器械安全突发事件调查和应急处置工作；负责在药品、医疗器械安全突发事件应急处置中做好公路保障保畅工作，协调运力，优先保障救援队伍、物资和事件涉及病人的运输。</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文教局：负责配合市场监管局做好药品、医疗器械安全突发事件中涉及学生、幼儿的应急处置和调查处理，做好在校学生、教职工的宣传教育和自我防护工作。负责做好药品、医疗器械安全突发事件广播影视安全播出的监督管理和技术保障工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其他有关部门：根据部门职责和处置药品、</w:t>
      </w:r>
      <w:r>
        <w:rPr>
          <w:rFonts w:ascii="仿宋_GB2312" w:eastAsia="仿宋_GB2312"/>
          <w:color w:val="000000"/>
          <w:kern w:val="2"/>
          <w:sz w:val="32"/>
          <w:szCs w:val="32"/>
        </w:rPr>
        <w:t>医疗器械</w:t>
      </w:r>
      <w:r>
        <w:rPr>
          <w:rFonts w:ascii="仿宋_GB2312" w:eastAsia="仿宋_GB2312"/>
          <w:color w:val="000000"/>
          <w:kern w:val="2"/>
          <w:sz w:val="32"/>
          <w:szCs w:val="32"/>
          <w:lang w:val="zh-CN"/>
        </w:rPr>
        <w:t>安全突发事件的需要，协助做好相关工作；应根据药品、</w:t>
      </w:r>
      <w:r>
        <w:rPr>
          <w:rFonts w:ascii="仿宋_GB2312" w:eastAsia="仿宋_GB2312"/>
          <w:color w:val="000000"/>
          <w:kern w:val="2"/>
          <w:sz w:val="32"/>
          <w:szCs w:val="32"/>
        </w:rPr>
        <w:t>医疗</w:t>
      </w:r>
      <w:r>
        <w:rPr>
          <w:rFonts w:ascii="仿宋_GB2312" w:eastAsia="仿宋_GB2312"/>
          <w:color w:val="000000"/>
          <w:kern w:val="2"/>
          <w:sz w:val="32"/>
          <w:szCs w:val="32"/>
        </w:rPr>
        <w:lastRenderedPageBreak/>
        <w:t>器械</w:t>
      </w:r>
      <w:r>
        <w:rPr>
          <w:rFonts w:ascii="仿宋_GB2312" w:eastAsia="仿宋_GB2312"/>
          <w:color w:val="000000"/>
          <w:kern w:val="2"/>
          <w:sz w:val="32"/>
          <w:szCs w:val="32"/>
          <w:lang w:val="zh-CN"/>
        </w:rPr>
        <w:t>安全突发事件应急处置工作需要，制定本部门的应急处置工作保障措施。</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根据应急处置工作实际需要，区指挥部可对成员单位进行必要调整，各有关部门按照要求依法依规开展相关工作。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rPr>
        <w:t>4.</w:t>
      </w:r>
      <w:r>
        <w:rPr>
          <w:rFonts w:ascii="仿宋_GB2312" w:eastAsia="仿宋_GB2312"/>
          <w:color w:val="000000"/>
          <w:kern w:val="2"/>
          <w:sz w:val="32"/>
          <w:szCs w:val="32"/>
          <w:lang w:val="zh-CN"/>
        </w:rPr>
        <w:t>现场指挥部工作组及职责</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根据应急处置工作需要设立现场指挥部，实行现场总指挥负责制。指挥调度现场应急救援力量、调配应急物资，协调有关单位开展抢险救援、医疗救护、转移疏散、治安维护等工作。到现场参加应急处置的各方面应急力量应主动向现场指挥部报到、受领任务，接受现场指挥部的指挥调度，及时报告现场情况和处置进展。根据工作需要，现场指挥部一般设立综合协调组、信息舆情组、医疗救援组、治安维护组、事件调查组、专家组</w:t>
      </w:r>
      <w:r>
        <w:rPr>
          <w:rFonts w:ascii="仿宋_GB2312" w:eastAsia="仿宋_GB2312"/>
          <w:color w:val="000000"/>
          <w:kern w:val="2"/>
          <w:sz w:val="32"/>
          <w:szCs w:val="32"/>
        </w:rPr>
        <w:t>和技术机构</w:t>
      </w:r>
      <w:r>
        <w:rPr>
          <w:rFonts w:ascii="仿宋_GB2312" w:eastAsia="仿宋_GB2312"/>
          <w:color w:val="000000"/>
          <w:kern w:val="2"/>
          <w:sz w:val="32"/>
          <w:szCs w:val="32"/>
          <w:lang w:val="zh-CN"/>
        </w:rPr>
        <w:t>等工作组。发生一般突发事件，由滨海新区人民政府指派</w:t>
      </w:r>
      <w:r>
        <w:rPr>
          <w:rFonts w:ascii="仿宋_GB2312" w:eastAsia="仿宋_GB2312"/>
          <w:color w:val="000000"/>
          <w:kern w:val="2"/>
          <w:sz w:val="32"/>
          <w:szCs w:val="32"/>
        </w:rPr>
        <w:t>保税区相关负责人</w:t>
      </w:r>
      <w:r>
        <w:rPr>
          <w:rFonts w:ascii="仿宋_GB2312" w:eastAsia="仿宋_GB2312"/>
          <w:color w:val="000000"/>
          <w:kern w:val="2"/>
          <w:sz w:val="32"/>
          <w:szCs w:val="32"/>
          <w:lang w:val="zh-CN"/>
        </w:rPr>
        <w:t>任现场总指挥。</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w:t>
      </w:r>
      <w:r>
        <w:rPr>
          <w:rFonts w:ascii="仿宋_GB2312" w:eastAsia="仿宋_GB2312"/>
          <w:color w:val="000000"/>
          <w:kern w:val="2"/>
          <w:sz w:val="32"/>
          <w:szCs w:val="32"/>
        </w:rPr>
        <w:t>1）</w:t>
      </w:r>
      <w:r>
        <w:rPr>
          <w:rFonts w:ascii="仿宋_GB2312" w:eastAsia="仿宋_GB2312"/>
          <w:color w:val="000000"/>
          <w:kern w:val="2"/>
          <w:sz w:val="32"/>
          <w:szCs w:val="32"/>
          <w:lang w:val="zh-CN"/>
        </w:rPr>
        <w:t>综合协调组：由市场监管局牵头，负责现场指挥部日常事务工作；收集、整理、上报突发事件处置信息；组织召开专家组会议；协调、提供必要的经费保障；经现场指挥部授权，发布处置工作动态；承担现场指挥部交办的其他工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w:t>
      </w:r>
      <w:r>
        <w:rPr>
          <w:rFonts w:ascii="仿宋_GB2312" w:eastAsia="仿宋_GB2312"/>
          <w:color w:val="000000"/>
          <w:kern w:val="2"/>
          <w:sz w:val="32"/>
          <w:szCs w:val="32"/>
        </w:rPr>
        <w:t>2）</w:t>
      </w:r>
      <w:r>
        <w:rPr>
          <w:rFonts w:ascii="仿宋_GB2312" w:eastAsia="仿宋_GB2312"/>
          <w:color w:val="000000"/>
          <w:kern w:val="2"/>
          <w:sz w:val="32"/>
          <w:szCs w:val="32"/>
          <w:lang w:val="zh-CN"/>
        </w:rPr>
        <w:t>信息舆情组：由党建部牵头，负责组织协调新闻媒体及时报道药品、医疗器械安全突发事件的处置进展情况，积极正确引导舆论；及时收集、整理、报送舆情监测等相关信息；负责受理记者采访申请和管理工作，及时向社会发布有关信息。</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lastRenderedPageBreak/>
        <w:t>（</w:t>
      </w:r>
      <w:r>
        <w:rPr>
          <w:rFonts w:ascii="仿宋_GB2312" w:eastAsia="仿宋_GB2312"/>
          <w:color w:val="000000"/>
          <w:kern w:val="2"/>
          <w:sz w:val="32"/>
          <w:szCs w:val="32"/>
        </w:rPr>
        <w:t>3</w:t>
      </w:r>
      <w:r>
        <w:rPr>
          <w:rFonts w:ascii="仿宋_GB2312" w:eastAsia="仿宋_GB2312"/>
          <w:color w:val="000000"/>
          <w:kern w:val="2"/>
          <w:sz w:val="32"/>
          <w:szCs w:val="32"/>
          <w:lang w:val="zh-CN"/>
        </w:rPr>
        <w:t>）医疗救援组：由社发局牵头，负责组织医疗卫生救援，指导相关医疗机构开展抢救工作。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w:t>
      </w:r>
      <w:r>
        <w:rPr>
          <w:rFonts w:ascii="仿宋_GB2312" w:eastAsia="仿宋_GB2312"/>
          <w:color w:val="000000"/>
          <w:kern w:val="2"/>
          <w:sz w:val="32"/>
          <w:szCs w:val="32"/>
        </w:rPr>
        <w:t>4</w:t>
      </w:r>
      <w:r>
        <w:rPr>
          <w:rFonts w:ascii="仿宋_GB2312" w:eastAsia="仿宋_GB2312"/>
          <w:color w:val="000000"/>
          <w:kern w:val="2"/>
          <w:sz w:val="32"/>
          <w:szCs w:val="32"/>
          <w:lang w:val="zh-CN"/>
        </w:rPr>
        <w:t>）治安维护组：由辖区派出所牵头，负责会同相关部门加强社会治安管理，严厉打击编造传播事件谣言、制造社会恐慌、趁机扰乱社会秩序等违法犯罪行为，做好矛盾纠纷化解和法律服务工作。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w:t>
      </w:r>
      <w:r>
        <w:rPr>
          <w:rFonts w:ascii="仿宋_GB2312" w:eastAsia="仿宋_GB2312"/>
          <w:color w:val="000000"/>
          <w:kern w:val="2"/>
          <w:sz w:val="32"/>
          <w:szCs w:val="32"/>
        </w:rPr>
        <w:t>5</w:t>
      </w:r>
      <w:r>
        <w:rPr>
          <w:rFonts w:ascii="仿宋_GB2312" w:eastAsia="仿宋_GB2312"/>
          <w:color w:val="000000"/>
          <w:kern w:val="2"/>
          <w:sz w:val="32"/>
          <w:szCs w:val="32"/>
          <w:lang w:val="zh-CN"/>
        </w:rPr>
        <w:t>）</w:t>
      </w:r>
      <w:r>
        <w:rPr>
          <w:rFonts w:ascii="仿宋_GB2312" w:eastAsia="仿宋_GB2312"/>
          <w:color w:val="000000"/>
          <w:kern w:val="2"/>
          <w:sz w:val="32"/>
          <w:szCs w:val="32"/>
        </w:rPr>
        <w:t>事件</w:t>
      </w:r>
      <w:r>
        <w:rPr>
          <w:rFonts w:ascii="仿宋_GB2312" w:eastAsia="仿宋_GB2312"/>
          <w:color w:val="000000"/>
          <w:kern w:val="2"/>
          <w:sz w:val="32"/>
          <w:szCs w:val="32"/>
          <w:lang w:val="zh-CN"/>
        </w:rPr>
        <w:t>调查组：由市场监管局牵头，社发局、辖区派出所等部门配合。负责调查突发事件发生原因，提出调查结论、防范意见和处置建议，为药品、医疗器械安全突发事件处置提供依据；组织对问题产品采取紧急控制措施和应急检验，防止危害蔓延扩大，控制事态发展，对相关产品追踪溯源；查处突发事件所涉及相关案件。</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5.</w:t>
      </w:r>
      <w:r>
        <w:rPr>
          <w:rFonts w:ascii="仿宋_GB2312" w:eastAsia="仿宋_GB2312"/>
          <w:color w:val="000000"/>
          <w:kern w:val="2"/>
          <w:sz w:val="32"/>
          <w:szCs w:val="32"/>
          <w:lang w:val="zh-CN"/>
        </w:rPr>
        <w:t>专家</w:t>
      </w:r>
      <w:r>
        <w:rPr>
          <w:rFonts w:ascii="仿宋_GB2312" w:eastAsia="仿宋_GB2312"/>
          <w:color w:val="000000"/>
          <w:kern w:val="2"/>
          <w:sz w:val="32"/>
          <w:szCs w:val="32"/>
        </w:rPr>
        <w:t>组及</w:t>
      </w:r>
      <w:r>
        <w:rPr>
          <w:rFonts w:ascii="仿宋_GB2312" w:eastAsia="仿宋_GB2312"/>
          <w:color w:val="000000"/>
          <w:kern w:val="2"/>
          <w:sz w:val="32"/>
          <w:szCs w:val="32"/>
          <w:lang w:val="zh-CN"/>
        </w:rPr>
        <w:t>技术机构</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w:t>
      </w:r>
      <w:r>
        <w:rPr>
          <w:rFonts w:ascii="仿宋_GB2312" w:eastAsia="仿宋_GB2312"/>
          <w:color w:val="000000"/>
          <w:kern w:val="2"/>
          <w:sz w:val="32"/>
          <w:szCs w:val="32"/>
        </w:rPr>
        <w:t>1</w:t>
      </w:r>
      <w:r>
        <w:rPr>
          <w:rFonts w:ascii="仿宋_GB2312" w:eastAsia="仿宋_GB2312"/>
          <w:color w:val="000000"/>
          <w:kern w:val="2"/>
          <w:sz w:val="32"/>
          <w:szCs w:val="32"/>
          <w:lang w:val="zh-CN"/>
        </w:rPr>
        <w:t>）专家组：药品、医疗器械安全突发</w:t>
      </w:r>
      <w:r>
        <w:rPr>
          <w:rFonts w:ascii="仿宋_GB2312" w:eastAsia="仿宋_GB2312"/>
          <w:color w:val="000000"/>
          <w:kern w:val="2"/>
          <w:sz w:val="32"/>
          <w:szCs w:val="32"/>
        </w:rPr>
        <w:t>事件</w:t>
      </w:r>
      <w:r>
        <w:rPr>
          <w:rFonts w:ascii="仿宋_GB2312" w:eastAsia="仿宋_GB2312"/>
          <w:color w:val="000000"/>
          <w:kern w:val="2"/>
          <w:sz w:val="32"/>
          <w:szCs w:val="32"/>
          <w:lang w:val="zh-CN"/>
        </w:rPr>
        <w:t>发生后，由市场监管局，会同社发局，从药学、临床医学、药理毒理学、流行病学、公共卫生管理学等方面遴选相关专家组成专家组，负责突发事件应急处置工作的咨询，参与事件调查、评估研判，向</w:t>
      </w:r>
      <w:r>
        <w:rPr>
          <w:rFonts w:ascii="仿宋_GB2312" w:eastAsia="仿宋_GB2312"/>
          <w:color w:val="000000"/>
          <w:kern w:val="2"/>
          <w:sz w:val="32"/>
          <w:szCs w:val="32"/>
        </w:rPr>
        <w:t>区指挥部</w:t>
      </w:r>
      <w:r>
        <w:rPr>
          <w:rFonts w:ascii="仿宋_GB2312" w:eastAsia="仿宋_GB2312"/>
          <w:color w:val="000000"/>
          <w:kern w:val="2"/>
          <w:sz w:val="32"/>
          <w:szCs w:val="32"/>
          <w:lang w:val="zh-CN"/>
        </w:rPr>
        <w:t>提出处置意见和建议，为应急决策提供参考。</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lang w:val="zh-CN"/>
        </w:rPr>
      </w:pPr>
      <w:r>
        <w:rPr>
          <w:rFonts w:ascii="仿宋_GB2312" w:eastAsia="仿宋_GB2312"/>
          <w:color w:val="000000"/>
          <w:kern w:val="2"/>
          <w:sz w:val="32"/>
          <w:szCs w:val="32"/>
          <w:lang w:val="zh-CN"/>
        </w:rPr>
        <w:t>（</w:t>
      </w:r>
      <w:r>
        <w:rPr>
          <w:rFonts w:ascii="仿宋_GB2312" w:eastAsia="仿宋_GB2312"/>
          <w:color w:val="000000"/>
          <w:kern w:val="2"/>
          <w:sz w:val="32"/>
          <w:szCs w:val="32"/>
        </w:rPr>
        <w:t>2</w:t>
      </w:r>
      <w:r>
        <w:rPr>
          <w:rFonts w:ascii="仿宋_GB2312" w:eastAsia="仿宋_GB2312"/>
          <w:color w:val="000000"/>
          <w:kern w:val="2"/>
          <w:sz w:val="32"/>
          <w:szCs w:val="32"/>
          <w:lang w:val="zh-CN"/>
        </w:rPr>
        <w:t>）技术机构：由市场监管局牵头，依托市级及滨海新区药品检验机构对药品、</w:t>
      </w:r>
      <w:r>
        <w:rPr>
          <w:rFonts w:ascii="仿宋_GB2312" w:eastAsia="仿宋_GB2312"/>
          <w:color w:val="000000"/>
          <w:kern w:val="2"/>
          <w:sz w:val="32"/>
          <w:szCs w:val="32"/>
        </w:rPr>
        <w:t>医疗器械</w:t>
      </w:r>
      <w:r>
        <w:rPr>
          <w:rFonts w:ascii="仿宋_GB2312" w:eastAsia="仿宋_GB2312"/>
          <w:color w:val="000000"/>
          <w:kern w:val="2"/>
          <w:sz w:val="32"/>
          <w:szCs w:val="32"/>
          <w:lang w:val="zh-CN"/>
        </w:rPr>
        <w:t>安全突发事件涉及的药品、</w:t>
      </w:r>
      <w:r>
        <w:rPr>
          <w:rFonts w:ascii="仿宋_GB2312" w:eastAsia="仿宋_GB2312"/>
          <w:color w:val="000000"/>
          <w:kern w:val="2"/>
          <w:sz w:val="32"/>
          <w:szCs w:val="32"/>
        </w:rPr>
        <w:t>医疗器械</w:t>
      </w:r>
      <w:r>
        <w:rPr>
          <w:rFonts w:ascii="仿宋_GB2312" w:eastAsia="仿宋_GB2312"/>
          <w:color w:val="000000"/>
          <w:kern w:val="2"/>
          <w:sz w:val="32"/>
          <w:szCs w:val="32"/>
          <w:lang w:val="zh-CN"/>
        </w:rPr>
        <w:t>进行抽样、检验、出具检验报告。</w:t>
      </w:r>
    </w:p>
    <w:p w:rsidR="009F3957" w:rsidRDefault="009F3957" w:rsidP="009F3957">
      <w:pPr>
        <w:pStyle w:val="1"/>
        <w:autoSpaceDE w:val="0"/>
        <w:autoSpaceDN w:val="0"/>
        <w:adjustRightInd w:val="0"/>
        <w:spacing w:line="540" w:lineRule="exact"/>
        <w:ind w:firstLine="640"/>
        <w:rPr>
          <w:rFonts w:ascii="黑体" w:eastAsia="黑体" w:hAnsi="黑体" w:cs="黑体" w:hint="eastAsia"/>
          <w:bCs/>
          <w:color w:val="000000"/>
          <w:sz w:val="32"/>
          <w:szCs w:val="32"/>
        </w:rPr>
      </w:pPr>
      <w:r>
        <w:rPr>
          <w:rFonts w:ascii="黑体" w:eastAsia="黑体" w:hAnsi="黑体" w:cs="黑体" w:hint="eastAsia"/>
          <w:bCs/>
          <w:color w:val="000000"/>
          <w:sz w:val="32"/>
          <w:szCs w:val="32"/>
        </w:rPr>
        <w:t>三、应急响应</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本预案中响应启动由滨海新区人民政府批准，总指挥、副总指挥组织实施，事件发生时应执行如下应急响应程序。</w:t>
      </w:r>
    </w:p>
    <w:p w:rsidR="009F3957" w:rsidRDefault="009F3957" w:rsidP="009F3957">
      <w:pPr>
        <w:pStyle w:val="2"/>
        <w:keepNext w:val="0"/>
        <w:keepLines w:val="0"/>
        <w:spacing w:line="54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lastRenderedPageBreak/>
        <w:t>（一）信息报告</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1.信息接报</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（1）报告责任主体</w:t>
      </w:r>
    </w:p>
    <w:p w:rsidR="009F3957" w:rsidRDefault="009F3957" w:rsidP="009F3957">
      <w:pPr>
        <w:shd w:val="clear" w:color="auto" w:fill="FFFFFF"/>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承担报告责任的主体通常包括：</w:t>
      </w:r>
    </w:p>
    <w:p w:rsidR="009F3957" w:rsidRDefault="009F3957" w:rsidP="009F3957">
      <w:pPr>
        <w:shd w:val="clear" w:color="auto" w:fill="FFFFFF"/>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①发生药品、医疗器械安全突发事件的医疗卫生机构；</w:t>
      </w:r>
    </w:p>
    <w:p w:rsidR="009F3957" w:rsidRDefault="009F3957" w:rsidP="009F3957">
      <w:pPr>
        <w:shd w:val="clear" w:color="auto" w:fill="FFFFFF"/>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②发生药品、医疗器械安全突发事件的药品零售企业、医疗器械经营企业；</w:t>
      </w:r>
    </w:p>
    <w:p w:rsidR="009F3957" w:rsidRDefault="009F3957" w:rsidP="009F3957">
      <w:pPr>
        <w:shd w:val="clear" w:color="auto" w:fill="FFFFFF"/>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③市场监管局等有关部门；</w:t>
      </w:r>
    </w:p>
    <w:p w:rsidR="009F3957" w:rsidRDefault="009F3957" w:rsidP="009F3957">
      <w:pPr>
        <w:shd w:val="clear" w:color="auto" w:fill="FFFFFF"/>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④其他单位和个人。</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（2）报告内容</w:t>
      </w:r>
    </w:p>
    <w:p w:rsidR="009F3957" w:rsidRDefault="009F3957" w:rsidP="009F3957">
      <w:pPr>
        <w:shd w:val="clear" w:color="auto" w:fill="FFFFFF"/>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药品、医疗器械安全突发事件信息报告分为初次报告、进展报告和总结报告。</w:t>
      </w:r>
    </w:p>
    <w:p w:rsidR="009F3957" w:rsidRDefault="009F3957" w:rsidP="009F3957">
      <w:pPr>
        <w:shd w:val="clear" w:color="auto" w:fill="FFFFFF"/>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①初次报告内容：药品、医疗器械安全突发事件的名称、性质，事件发生时间、地点、影响范围，受害者基本信息、主要症状与体征，所涉药品零售企业、医疗器械经营企业、医疗机构名称,所涉药品、医疗器械产品规格、包装及批号等，先期处置，事件的发展趋势和潜在危害程度，下一步工作计划等。</w:t>
      </w:r>
    </w:p>
    <w:p w:rsidR="009F3957" w:rsidRDefault="009F3957" w:rsidP="009F3957">
      <w:pPr>
        <w:shd w:val="clear" w:color="auto" w:fill="FFFFFF"/>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②进展报告内容：药品、医疗器械安全突发事件调查情况和原因分析结果、产品控制情况、事件影响评估、采取的控制措施、发展趋势等。</w:t>
      </w:r>
    </w:p>
    <w:p w:rsidR="009F3957" w:rsidRDefault="009F3957" w:rsidP="009F3957">
      <w:pPr>
        <w:shd w:val="clear" w:color="auto" w:fill="FFFFFF"/>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③总结报告内容：及时对药品、医疗器械安全突发事件的起因、性质、影响、责任、应对等进行全面分析，对事件应对过程中的经验和存在的问题及时总结，并提出对今后类似事件的防范和处置建议。</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lastRenderedPageBreak/>
        <w:t>（3）报告程序和时限</w:t>
      </w:r>
    </w:p>
    <w:p w:rsidR="009F3957" w:rsidRDefault="009F3957" w:rsidP="009F3957">
      <w:pPr>
        <w:shd w:val="clear" w:color="auto" w:fill="FFFFFF"/>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按照由下至上、逐级报告的原则，各责任主体应及时报告药品、医疗器械安全突发事件。</w:t>
      </w:r>
    </w:p>
    <w:p w:rsidR="009F3957" w:rsidRDefault="009F3957" w:rsidP="009F3957">
      <w:pPr>
        <w:shd w:val="clear" w:color="auto" w:fill="FFFFFF"/>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①药品零售企业、医疗器械经营企业在发现或获知药品、医疗器械安全突发事件发生后，必须第一时间向市场监管局报告；医疗机构在发现或获知药品、医疗器械安全突发事件发生后，必须第一时间向社发局报告，同时向市场监管局报告，最迟不得超过2小时。</w:t>
      </w:r>
    </w:p>
    <w:p w:rsidR="009F3957" w:rsidRDefault="009F3957" w:rsidP="009F3957">
      <w:pPr>
        <w:shd w:val="clear" w:color="auto" w:fill="FFFFFF"/>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②市场监管局接到报告后，应立即组织有关人员赴现场对事件进行调查核实，研判事件发展趋势，必须在20分钟内向保税区管委会和滨海新区市场监管局电话报送，40分钟内向保税区管委会和滨海新区市场监管局书面报告。续报要根据事件进展，及时报告处置情况、发展趋势、衍生事态等信息。对于要求核报的信息，要迅速核实，及时续报反馈。电话反馈时间不得超过20分钟，要求报送书面信息的，反馈时间不得超过40分钟。结报要在突发事件应急响应结束后20分钟内电话报告，需要书面报送的，要在50分钟内完成。对于领导指示、批示及关切事项，要跟踪落实并及时反馈情况，原则上不得超过24小时，领导有明确时限要求的按要求落实。</w:t>
      </w:r>
    </w:p>
    <w:p w:rsidR="009F3957" w:rsidRDefault="009F3957" w:rsidP="009F3957">
      <w:pPr>
        <w:shd w:val="clear" w:color="auto" w:fill="FFFFFF"/>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③保税区管委会按照接报即报、随时续报的原则，在接报后30分钟内电话报告，1小时内书面向滨海新区政府报告，报送药品、医疗器械安全突发事件基本情况。</w:t>
      </w:r>
    </w:p>
    <w:p w:rsidR="009F3957" w:rsidRDefault="009F3957" w:rsidP="009F3957">
      <w:pPr>
        <w:shd w:val="clear" w:color="auto" w:fill="FFFFFF"/>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④发生一般、较大、重大、特别重大药品、医疗器械安全突发事件，在按流程报送信息的同时，相关部门的主要领</w:t>
      </w:r>
      <w:r>
        <w:rPr>
          <w:rFonts w:ascii="仿宋_GB2312" w:eastAsia="仿宋_GB2312" w:hAnsi="宋体" w:hint="eastAsia"/>
          <w:color w:val="000000"/>
          <w:sz w:val="32"/>
          <w:szCs w:val="32"/>
        </w:rPr>
        <w:lastRenderedPageBreak/>
        <w:t>导可直接向保税区管委会有关领导报告。</w:t>
      </w:r>
    </w:p>
    <w:p w:rsidR="009F3957" w:rsidRDefault="009F3957" w:rsidP="009F3957">
      <w:pPr>
        <w:shd w:val="clear" w:color="auto" w:fill="FFFFFF"/>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（4）报告方式</w:t>
      </w:r>
    </w:p>
    <w:p w:rsidR="009F3957" w:rsidRDefault="009F3957" w:rsidP="009F3957">
      <w:pPr>
        <w:shd w:val="clear" w:color="auto" w:fill="FFFFFF"/>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突发事件信息报送分电话报告和书面报告两种方式。电话报告要讲清报告人与联系方式，书面报告要注明报告人与审核人。涉密信息的报告按保密有关规定处理。</w:t>
      </w:r>
    </w:p>
    <w:p w:rsidR="009F3957" w:rsidRDefault="009F3957" w:rsidP="009F3957">
      <w:pPr>
        <w:pStyle w:val="2"/>
        <w:keepNext w:val="0"/>
        <w:keepLines w:val="0"/>
        <w:spacing w:line="54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（二）监测与预警</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市场监管局建立健全药品、医疗器械安全突发事件信息监测与预警制度，积极开展风险分析和评估，做到早发现、早报告、早预警、早处置。</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1.监测</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建立统一的药品安全风险监测组织体系和信息传递体系，完善监测制度。市场监管局会同社发局等有关部门认真做好日常监测工作，加强队伍建设，提高应急预警事件的发现和处置能力，切实做到早发现、早报告、早评估、早控制。同时，加强对本区域监测工作的管理、监督和督促，保证监测工作质量。</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2.建立预警制度</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市场监管局建立健全药品、医疗器械安全突发事件预警制度，完善预警信息发布工作机制。根据监测信息，对事件隐患提出分析评估意见，并根据评估结果进行预警。</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3.预警分级</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根据风险评估结果，药品、医疗器械安全突发事件预警分为四个等级，分别用Ⅰ级（红色）、Ⅱ级（橙色）、Ⅲ级（黄色）、Ⅳ级（蓝色）表示。</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Ⅰ级预警：已发生重大药品安全事件，预计将要发生特</w:t>
      </w:r>
      <w:r>
        <w:rPr>
          <w:rFonts w:ascii="仿宋_GB2312" w:eastAsia="仿宋_GB2312" w:hAnsi="宋体" w:hint="eastAsia"/>
          <w:color w:val="000000"/>
          <w:sz w:val="32"/>
          <w:szCs w:val="32"/>
        </w:rPr>
        <w:lastRenderedPageBreak/>
        <w:t>别重大药品、医疗器械安全突发事件，事件会随时发生，事态正趋于严重。</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Ⅱ级预警：已发生较大药品安全事件，预计将要发生重大以上药品、医疗器械安全突发事件，事件即将发生，事态正在逐步扩大。</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Ⅲ级预警：已发生一般药品安全事件，预计将要发生较大以上药品、医疗器械安全突发事件，事件已经临近，事态有扩大的趋势。</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Ⅳ级预警：预计将要发生一般以上药品、医疗器械安全突发事件，事件即将临近，事态可能会扩大。</w:t>
      </w:r>
    </w:p>
    <w:p w:rsidR="009F3957" w:rsidRDefault="009F3957" w:rsidP="009F3957">
      <w:pPr>
        <w:spacing w:line="540" w:lineRule="exact"/>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对于可能发生</w:t>
      </w:r>
      <w:r>
        <w:rPr>
          <w:rFonts w:ascii="仿宋_GB2312" w:eastAsia="仿宋_GB2312" w:hAnsi="宋体" w:hint="eastAsia"/>
          <w:color w:val="000000"/>
          <w:sz w:val="32"/>
          <w:szCs w:val="32"/>
        </w:rPr>
        <w:t>Ⅰ</w:t>
      </w:r>
      <w:r>
        <w:rPr>
          <w:rFonts w:ascii="仿宋_GB2312" w:eastAsia="仿宋_GB2312" w:hAnsi="宋体"/>
          <w:color w:val="000000"/>
          <w:sz w:val="32"/>
          <w:szCs w:val="32"/>
        </w:rPr>
        <w:t>级、</w:t>
      </w:r>
      <w:r>
        <w:rPr>
          <w:rFonts w:ascii="仿宋_GB2312" w:eastAsia="仿宋_GB2312" w:hAnsi="宋体" w:hint="eastAsia"/>
          <w:color w:val="000000"/>
          <w:sz w:val="32"/>
          <w:szCs w:val="32"/>
        </w:rPr>
        <w:t>Ⅱ</w:t>
      </w:r>
      <w:r>
        <w:rPr>
          <w:rFonts w:ascii="仿宋_GB2312" w:eastAsia="仿宋_GB2312" w:hAnsi="宋体"/>
          <w:color w:val="000000"/>
          <w:sz w:val="32"/>
          <w:szCs w:val="32"/>
        </w:rPr>
        <w:t>级</w:t>
      </w:r>
      <w:r>
        <w:rPr>
          <w:rFonts w:ascii="仿宋_GB2312" w:eastAsia="仿宋_GB2312" w:hAnsi="宋体" w:hint="eastAsia"/>
          <w:color w:val="000000"/>
          <w:sz w:val="32"/>
          <w:szCs w:val="32"/>
        </w:rPr>
        <w:t>、Ⅲ级、Ⅳ级</w:t>
      </w:r>
      <w:r>
        <w:rPr>
          <w:rFonts w:ascii="仿宋_GB2312" w:eastAsia="仿宋_GB2312" w:hAnsi="宋体"/>
          <w:color w:val="000000"/>
          <w:sz w:val="32"/>
          <w:szCs w:val="32"/>
        </w:rPr>
        <w:t>预警的，立即向上级报告。</w:t>
      </w:r>
    </w:p>
    <w:p w:rsidR="009F3957" w:rsidRDefault="009F3957" w:rsidP="009F3957">
      <w:pPr>
        <w:spacing w:line="54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4.预警信息发布</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Ⅰ级预警：由国家药品监督管理局确定发布。</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Ⅱ级预警：经市人民政府批准后，由市应急工作领导小组发布。</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Ⅲ级预警：市药品监督管理局会同滨海新区市场监管局确定发布。</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Ⅳ级预警：市药品监督管理局会同滨海新区市场监管局确定发布。</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5.响应准备</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Ⅰ级、Ⅱ级、Ⅲ级预警发布后，听从滨海新区指挥部的要求采取相关措施。</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Ⅳ级预警发布后，视情采取以下准备及措施：</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（1）加强对发展情况的动态监测，对药品、医疗器械</w:t>
      </w:r>
      <w:r>
        <w:rPr>
          <w:rFonts w:ascii="仿宋_GB2312" w:eastAsia="仿宋_GB2312" w:hAnsi="宋体" w:hint="eastAsia"/>
          <w:color w:val="000000"/>
          <w:sz w:val="32"/>
          <w:szCs w:val="32"/>
        </w:rPr>
        <w:lastRenderedPageBreak/>
        <w:t>安全突发事件相关危险因素进行分析，向社会发布与公众有关的突发事件预测信息和分析评估结果；</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（2）组织有关部门和机构、专家学者，对突发事件信息进行分析评估，科学研判发展趋势；</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（3）向社会公众发布所涉药品、医疗器械警示信息，开展相关科普宣传；</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（4）做好应急处置工作，根据情况需要，及时报请区人民政府予以支持和指导；按照滨海新区指挥部的部署和要求，做好相关工作，相关情况及时报告滨海新区指挥部办公室。</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（5）法律、法规、规章规定的其他措施。</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6.预警调整和解除</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（1）Ⅰ级预警级别降低与解除：由国家药品监督管理局根据评估结果、事件处置情况确定并发布。</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（2）Ⅱ级预警级别降低与解除：由市应急工作领导小组根据评估结果、事件处置情况，报市政府批准后发布。</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3）Ⅲ级预警级别降低与解除：由区指挥部依据事态变化情况和专家会商建议，认为预警可能发生的突发事件趋向好转或可能消除，应及时向滨海新区指挥部提出降低或解除预警建议，滨海新区指挥部根据评估结果、事发地区对事件的处置情况，认为预警可能发生的突发事件趋向好转或可能消除，应及时提出降低或解除预警建议，报市药监局、滨海新区人民政府批准后发布。决定降为四级预警的，区指挥部接受市药监局、滨海新区指挥部通知继续采取相关措施。</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（4）Ⅳ级预警级别解除：由区指挥部依据事态变化情</w:t>
      </w:r>
      <w:r>
        <w:rPr>
          <w:rFonts w:ascii="仿宋_GB2312" w:eastAsia="仿宋_GB2312" w:hAnsi="宋体" w:hint="eastAsia"/>
          <w:color w:val="000000"/>
          <w:sz w:val="32"/>
          <w:szCs w:val="32"/>
        </w:rPr>
        <w:lastRenderedPageBreak/>
        <w:t>况和专家会商建议，认为突发事件不可能发生或者危害已经解除时，应及时向滨海新区指挥部提出解除预警建议。滨海新区指挥部根据评估结果、事发地区对事件的处置情况，认为突发事件不可能发生或者危害已经解除时，应及时提出解除预警建议，报市药监局、滨海新区人民政府批准后发布。</w:t>
      </w:r>
    </w:p>
    <w:p w:rsidR="009F3957" w:rsidRDefault="009F3957" w:rsidP="009F3957">
      <w:pPr>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5）预警级别的升高。根据对事件发展情况的动态监测和相关信息进行分析评估，一般药品安全突发事件的事态进一步扩大，预测将要或已经发生较大事件时，区指挥部应及时向滨海新区指挥报告，由滨海新区指挥部报请滨海新区人民政府批准后，启动相应应急响应。预测将要发生或已经发生特别重大、重大药品安全突发事件时，由滨海新区指挥部报请滨海新区人民政府批准，做好前期应急处置工作，同时报市应急工作领导小组。在市应急领导小组的统一领导下，启动相应的应急响应。</w:t>
      </w:r>
    </w:p>
    <w:p w:rsidR="009F3957" w:rsidRDefault="009F3957" w:rsidP="009F3957">
      <w:pPr>
        <w:pStyle w:val="2"/>
        <w:keepNext w:val="0"/>
        <w:keepLines w:val="0"/>
        <w:spacing w:line="540" w:lineRule="exact"/>
        <w:ind w:firstLineChars="200" w:firstLine="643"/>
        <w:jc w:val="both"/>
        <w:rPr>
          <w:rFonts w:ascii="楷体_GB2312" w:eastAsia="楷体_GB2312" w:hAnsi="宋体"/>
          <w:bCs/>
          <w:color w:val="000000"/>
          <w:sz w:val="32"/>
          <w:szCs w:val="32"/>
        </w:rPr>
      </w:pPr>
      <w:r>
        <w:rPr>
          <w:rFonts w:ascii="楷体_GB2312" w:eastAsia="楷体_GB2312" w:hAnsi="宋体" w:hint="eastAsia"/>
          <w:bCs/>
          <w:color w:val="000000"/>
          <w:sz w:val="32"/>
          <w:szCs w:val="32"/>
        </w:rPr>
        <w:t>（三）先期处置</w:t>
      </w:r>
    </w:p>
    <w:p w:rsidR="009F3957" w:rsidRDefault="009F3957" w:rsidP="009F3957">
      <w:pPr>
        <w:pStyle w:val="HTML"/>
        <w:spacing w:line="540" w:lineRule="exact"/>
        <w:ind w:firstLineChars="200" w:firstLine="640"/>
        <w:jc w:val="both"/>
        <w:rPr>
          <w:rFonts w:ascii="仿宋_GB2312" w:eastAsia="仿宋_GB2312" w:hint="default"/>
          <w:color w:val="000000"/>
          <w:kern w:val="2"/>
          <w:sz w:val="32"/>
          <w:szCs w:val="32"/>
        </w:rPr>
      </w:pPr>
      <w:r>
        <w:rPr>
          <w:rFonts w:ascii="仿宋_GB2312" w:eastAsia="仿宋_GB2312"/>
          <w:color w:val="000000"/>
          <w:kern w:val="2"/>
          <w:sz w:val="32"/>
          <w:szCs w:val="32"/>
        </w:rPr>
        <w:t>1.区指挥部先期处置</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区指挥部接到药品、医疗器械安全突发事件报告后，应立即组织相关部门，对患者开展医疗救治工作、到事发现场进行调查核实、对相关药品、医疗器械进行封存，根据情况可在本行政辖区内对相关药品、医疗器械采取暂停销售、使用等紧急控制措施，并对相关药品、医疗器械进行抽验，重大情况应在规定时限内报滨海新区指挥部。</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2.事发企业先期处置</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事件涉及的药品零售、医疗器械经营企业应在24小时内发出通知，对本企业在本行政区内及全国范围内销售该批</w:t>
      </w:r>
      <w:r>
        <w:rPr>
          <w:rFonts w:ascii="仿宋_GB2312" w:eastAsia="仿宋_GB2312"/>
          <w:color w:val="000000"/>
          <w:kern w:val="2"/>
          <w:sz w:val="32"/>
          <w:szCs w:val="32"/>
        </w:rPr>
        <w:lastRenderedPageBreak/>
        <w:t>次产品暂停销售，并在24小时内向所在地市场监管部门上报该药品、医疗器械销售的汇总情况，并做好药品、医疗器械召回的应急准备。</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3.事发医疗机构先期处置</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应立即停用该药品、医疗器械，统一封存，在24小时内向市场监管局上报该药品、医疗器械的购进和使用情况，对患者开展相关医疗救治工作。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4.市场监管局先期处置</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市场监管局接到突发事件的报告后，会同有关部门，立即赶赴现场进行应急处置，调查核实事件原因和进展情况，及时将有关情况报告保税区管委会，并视情开展以下工作：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（1）组织对事件涉及的药品不良反应、医疗器械不良事件进行统计分析。对相关数据库资料进行汇总统计，同时密切跟踪事件发展，检索国内外相关资料，随时汇总、分析相关信息，并及时上报。</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（2）密切跟踪事件发展情况，进行初步分析研判，提出是否采取暂停销售、使用的建议。</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（3）对决定暂停销售、使用的产品采取控制措施。</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4）加强对药品、医疗器械安全突发事件处置工作的指导和协调。必要时，组织临床、药学等相关专家前往事发现场，对病人或病例进行现场调查并初步进行关联性评价；组织对涉及的药品零售、医疗器械经营、药品、医疗器械使用单位进行检查，对需要抽样的相关产品进行抽检。</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（5）根据调查情况，组织专家进行分析评价，对突发事件性质和原因提出意见。</w:t>
      </w:r>
    </w:p>
    <w:p w:rsidR="009F3957" w:rsidRDefault="009F3957" w:rsidP="009F3957">
      <w:pPr>
        <w:pStyle w:val="1"/>
        <w:autoSpaceDE w:val="0"/>
        <w:autoSpaceDN w:val="0"/>
        <w:adjustRightInd w:val="0"/>
        <w:spacing w:line="540" w:lineRule="exact"/>
        <w:ind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lastRenderedPageBreak/>
        <w:t>（6）加强应急值守和信息报送。保证与事发企业、医疗机构保持24小时联络畅通，联系、协调事件涉及的非本区药品、医疗器械监管部门，综合先期处置工作情况，提出是否启动本预案的建议。</w:t>
      </w:r>
    </w:p>
    <w:p w:rsidR="009F3957" w:rsidRDefault="009F3957" w:rsidP="009F3957">
      <w:pPr>
        <w:pStyle w:val="2"/>
        <w:keepNext w:val="0"/>
        <w:keepLines w:val="0"/>
        <w:spacing w:line="54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（四）响应启动</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1.Ⅰ级响应</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发生特别重大药品、医疗器械安全突发事件，由国家药品监督管理局启动Ⅰ级应急响应，由市委、市政府、区委、区政府指挥协调保税区管委会等各方面力量开展应对工作。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2.Ⅱ级响应</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发生重大药品、医疗器械安全突发事件，由市政府启动Ⅱ级应急响应，由滨海新区政府、滨海新区应急委、滨海新区指挥部、区指挥部开展应对工作。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3.Ⅲ级响应</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发生较大药品、医疗器械安全突发事件，由滨海新区政府启动Ⅲ级应急响应，由滨海新区指挥部、区指挥部开展应急处置工作。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4.Ⅳ级响应</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发生一般药品、医疗器械安全突发事件，由滨海新区政府（区市场监管局）启动Ⅳ级应急响应，区指挥部负责处置工作，并及时向滨海新区指挥部上报事件信息，同时做好扩大响应的准备，滨海新区指挥部视情提供支持援助，必要时组织指挥。</w:t>
      </w:r>
    </w:p>
    <w:p w:rsidR="009F3957" w:rsidRDefault="009F3957" w:rsidP="009F3957">
      <w:pPr>
        <w:pStyle w:val="HTML"/>
        <w:spacing w:line="540" w:lineRule="exact"/>
        <w:ind w:firstLineChars="200" w:firstLine="640"/>
        <w:jc w:val="both"/>
        <w:rPr>
          <w:rFonts w:ascii="仿宋_GB2312" w:eastAsia="仿宋_GB2312" w:hint="default"/>
          <w:color w:val="000000"/>
          <w:kern w:val="2"/>
          <w:sz w:val="32"/>
          <w:szCs w:val="32"/>
        </w:rPr>
      </w:pPr>
      <w:r>
        <w:rPr>
          <w:rFonts w:ascii="仿宋_GB2312" w:eastAsia="仿宋_GB2312"/>
          <w:color w:val="000000"/>
          <w:kern w:val="2"/>
          <w:sz w:val="32"/>
          <w:szCs w:val="32"/>
        </w:rPr>
        <w:t>5.响应程序</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根据预警分析研判结果，确定响应级别，应急响应的过</w:t>
      </w:r>
      <w:r>
        <w:rPr>
          <w:rFonts w:ascii="仿宋_GB2312" w:eastAsia="仿宋_GB2312"/>
          <w:color w:val="000000"/>
          <w:kern w:val="2"/>
          <w:sz w:val="32"/>
          <w:szCs w:val="32"/>
        </w:rPr>
        <w:lastRenderedPageBreak/>
        <w:t>程为接警、警情判断、应急启动、应急指挥、应急行动、资源调配、事态控制、扩大应急、应急终止和后期处置等。</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区指挥部办公室接警后立即报送区指挥部，区指挥部初判发生特别重大、重大、较大药品、医疗器械安全突发事件时，立即上报滨海新区指挥部。</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区指挥部办公室接警后立即报送区指挥部，区指挥部初判一般药品、医疗器械安全突发事件，立即上报滨海新区指挥部同时进行先期处置并做好启动应急响应的准备。滨海新区指挥部通知区指挥部启动Ⅳ级响应并告知滨海新区人民政府指派的现场总指挥后，区指挥部通知各成员单位到指定地点集合，召开应急会议，成立现场指挥部。根据事件处置需要成立相应工作组，组织、协调、指导、督促各工作组按照职责组织开展工作。现场总指挥及各工作组人员应立即赶赴现场，开展应急处置工作。同时启动信息报送程序，确保天津港保税区所授权的信息途径畅通，主动、及时、准确、客观向社会发布药品、医疗器械安全突发事件应对工作信息。</w:t>
      </w:r>
    </w:p>
    <w:p w:rsidR="009F3957" w:rsidRDefault="009F3957" w:rsidP="009F3957">
      <w:pPr>
        <w:pStyle w:val="2"/>
        <w:keepNext w:val="0"/>
        <w:keepLines w:val="0"/>
        <w:spacing w:line="54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（五）应急措施</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区指挥部在先期处置工作的基础上，进一步采取以下措施：</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（1）医疗救援组协调有效利用医疗资源，组织指导医疗机构开展伤员救治工作，最大限度的救治健康损害人员。</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2）事件调查组开展事件调查，尽快查明事故原因、性质、危害程度、波及范围等，及时报送区指挥部办公室。采取紧急措施，对有证据证明可能危害人体健康的药品、医疗器械及其有关证据材料采取查封、扣押等行政强制措施，</w:t>
      </w:r>
      <w:r>
        <w:rPr>
          <w:rFonts w:ascii="仿宋_GB2312" w:eastAsia="仿宋_GB2312"/>
          <w:color w:val="000000"/>
          <w:kern w:val="2"/>
          <w:sz w:val="32"/>
          <w:szCs w:val="32"/>
        </w:rPr>
        <w:lastRenderedPageBreak/>
        <w:t>对质量可疑的药品、医疗器械进行抽样送检；对相关药品、医疗器械进行统计、溯源、责令召回、停止使用，实施监督抽查，采取紧急控制措施，以控制突发事故的进一步发展。</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（3）综合协调组及时收集、整理、上报突发事件处置信息；组织专家组对事件发生原因、性质，做出研判结论和意见；协调、提供必要的经费保障；经现场指挥部授权，发布处置工作动态。</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（4）治安维护组加强社会治安管理，严厉打击编造传播事件谣言、制造社会恐慌，趁机扰乱社会秩序等违法犯罪行为，做好矛盾纠纷化解和法律服务工作。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（5）信息舆情组根据事件处置进展和需要，根据授权适时组织新闻发布，开展合理用药和安全用药知识宣传教育，提高公众科学健康意识和能力，消除公众恐慌心理。</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（6）专家组为药品、医疗器械安全突发事件应急处置工作提供建议咨询、指导评价、评估研判，并参与现场处置。</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（7）技术机构对药品、医疗器械安全突发事件涉及的药品、医疗器械进行检测检验，提交研究分析检验报告，供决策参考。</w:t>
      </w:r>
    </w:p>
    <w:p w:rsidR="009F3957" w:rsidRDefault="009F3957" w:rsidP="009F3957">
      <w:pPr>
        <w:pStyle w:val="2"/>
        <w:keepNext w:val="0"/>
        <w:keepLines w:val="0"/>
        <w:spacing w:line="54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（六）新闻与舆情处置</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1.一般药品、医疗器械安全突发事件的新闻发布与舆论引导工作由滨海新区区委宣传部负责。信息舆情组负责信息发布、舆情分析、舆情引导和媒体服务等工作。未经批准，参与应急处置工作的单位和个人不得私自对外发布信息。</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2.信息舆情组组织有关单位做好网络舆情分析工作，加强网络媒体和移动新媒体信息发布，引导网民依法、理性表</w:t>
      </w:r>
      <w:r>
        <w:rPr>
          <w:rFonts w:ascii="仿宋_GB2312" w:eastAsia="仿宋_GB2312"/>
          <w:color w:val="000000"/>
          <w:kern w:val="2"/>
          <w:sz w:val="32"/>
          <w:szCs w:val="32"/>
        </w:rPr>
        <w:lastRenderedPageBreak/>
        <w:t>达意见，及时调控管控有害信息，会同治安维护组依法依规对散布谣言、恶意炒作等行为进行处理。</w:t>
      </w:r>
    </w:p>
    <w:p w:rsidR="009F3957" w:rsidRDefault="009F3957" w:rsidP="009F3957">
      <w:pPr>
        <w:pStyle w:val="2"/>
        <w:keepNext w:val="0"/>
        <w:keepLines w:val="0"/>
        <w:spacing w:line="54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（七）响应终止</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患者病情稳定或好转，没有新发类似病例，事件得到有效控制后，按以下终止程序终止响应：</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Ⅰ级应急响应由国家药监局决定终止。</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Ⅱ级应急响应终止，由市药品应急工作领导小组报请市政府同意后发布。</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Ⅲ级应急响应终止，由滨海新区指挥部报请滨海新区人民政府同意后发布。</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Ⅳ级应急响应终止，由市场监管局视情况提出终止Ⅳ级应急响应的建议，经研判后由区指挥部上报滨海新区指挥部，滨海新区指挥部报请滨海新区人民政府同意后发布。</w:t>
      </w:r>
    </w:p>
    <w:p w:rsidR="009F3957" w:rsidRDefault="009F3957" w:rsidP="009F3957">
      <w:pPr>
        <w:pStyle w:val="1"/>
        <w:autoSpaceDE w:val="0"/>
        <w:autoSpaceDN w:val="0"/>
        <w:adjustRightInd w:val="0"/>
        <w:spacing w:line="540" w:lineRule="exact"/>
        <w:ind w:firstLine="640"/>
        <w:rPr>
          <w:rFonts w:ascii="黑体" w:eastAsia="黑体" w:hAnsi="黑体" w:cs="黑体" w:hint="eastAsia"/>
          <w:bCs/>
          <w:color w:val="000000"/>
          <w:sz w:val="32"/>
          <w:szCs w:val="32"/>
        </w:rPr>
      </w:pPr>
      <w:r>
        <w:rPr>
          <w:rFonts w:ascii="黑体" w:eastAsia="黑体" w:hAnsi="黑体" w:cs="黑体" w:hint="eastAsia"/>
          <w:bCs/>
          <w:color w:val="000000"/>
          <w:sz w:val="32"/>
          <w:szCs w:val="32"/>
        </w:rPr>
        <w:t>四、后期处置</w:t>
      </w:r>
    </w:p>
    <w:p w:rsidR="009F3957" w:rsidRDefault="009F3957" w:rsidP="009F3957">
      <w:pPr>
        <w:pStyle w:val="2"/>
        <w:keepNext w:val="0"/>
        <w:keepLines w:val="0"/>
        <w:spacing w:line="54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（一）善后处置</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善后处置工作在保税区管委会领导下，由相关部门提供必要支持。造成药品、医疗器械安全突发事件的责任单位和责任人应当按照有关规定对受害人给予赔偿。</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根据调查和认定的结论，依法对相关责任单位和责任人员采取处理措施，涉嫌销售假劣药品、医疗器械并构成犯罪的，及时移交公安机关并协助开展案件调查工作。确定是药品、医疗器械质量导致的，依法对职权区域范围内经营企业、使用单位进行查处。确定是临床用药、用械不合理或错误导致的，移交社发局对有关医疗机构依法处理。</w:t>
      </w:r>
    </w:p>
    <w:p w:rsidR="009F3957" w:rsidRDefault="009F3957" w:rsidP="009F3957">
      <w:pPr>
        <w:pStyle w:val="2"/>
        <w:keepNext w:val="0"/>
        <w:keepLines w:val="0"/>
        <w:spacing w:line="54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（二）调查评估</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lastRenderedPageBreak/>
        <w:t>药品、医疗器械安全突发事件应急处置结束后，区指挥部办公室应及时对事件的应急处置工作进行调查评估和总结，主要内容包括对事件的起因、性质、影响、后果、责任和应急决策能力、应急保障能力、预警预防能力、现场处置能力、恢复重建能力等问题，总结经验教训提出改进建议，进一步提高应急处置能力和水平。并应在3日内将应急处置工作评估总结报滨海新区指挥部，滨海新区指挥部接到应急处置工作评估总结的同时报滨海新区人民政府。</w:t>
      </w:r>
    </w:p>
    <w:p w:rsidR="009F3957" w:rsidRDefault="009F3957" w:rsidP="009F3957">
      <w:pPr>
        <w:pStyle w:val="1"/>
        <w:autoSpaceDE w:val="0"/>
        <w:autoSpaceDN w:val="0"/>
        <w:adjustRightInd w:val="0"/>
        <w:spacing w:line="540" w:lineRule="exact"/>
        <w:ind w:firstLine="640"/>
        <w:rPr>
          <w:rFonts w:ascii="黑体" w:eastAsia="黑体" w:hAnsi="黑体" w:cs="黑体" w:hint="eastAsia"/>
          <w:bCs/>
          <w:color w:val="000000"/>
          <w:sz w:val="32"/>
          <w:szCs w:val="32"/>
        </w:rPr>
      </w:pPr>
      <w:r>
        <w:rPr>
          <w:rFonts w:ascii="黑体" w:eastAsia="黑体" w:hAnsi="黑体" w:cs="黑体" w:hint="eastAsia"/>
          <w:bCs/>
          <w:color w:val="000000"/>
          <w:sz w:val="32"/>
          <w:szCs w:val="32"/>
        </w:rPr>
        <w:t>五、应急保障</w:t>
      </w:r>
    </w:p>
    <w:p w:rsidR="009F3957" w:rsidRDefault="009F3957" w:rsidP="009F3957">
      <w:pPr>
        <w:pStyle w:val="2"/>
        <w:keepNext w:val="0"/>
        <w:keepLines w:val="0"/>
        <w:spacing w:line="54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（一）队伍保障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各部门根据职责划分、风险防范应对工作需要，加强本行业、本领域专业应急救援队伍的建设管理。组织队伍技能培训和应急演练。</w:t>
      </w:r>
    </w:p>
    <w:p w:rsidR="009F3957" w:rsidRDefault="009F3957" w:rsidP="009F3957">
      <w:pPr>
        <w:pStyle w:val="2"/>
        <w:keepNext w:val="0"/>
        <w:keepLines w:val="0"/>
        <w:spacing w:line="54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（二）物资保障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各部门根据职责划分，分别负责本领域的应急物资储备工作，满足处置突发事件的需要。</w:t>
      </w:r>
    </w:p>
    <w:p w:rsidR="009F3957" w:rsidRDefault="009F3957" w:rsidP="009F3957">
      <w:pPr>
        <w:pStyle w:val="2"/>
        <w:keepNext w:val="0"/>
        <w:keepLines w:val="0"/>
        <w:spacing w:line="54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（三）经费保障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保税区管委会采取财政措施，保障突发事件防范和应对工作所需经费。</w:t>
      </w:r>
    </w:p>
    <w:p w:rsidR="009F3957" w:rsidRDefault="009F3957" w:rsidP="009F3957">
      <w:pPr>
        <w:pStyle w:val="2"/>
        <w:keepNext w:val="0"/>
        <w:keepLines w:val="0"/>
        <w:spacing w:line="54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（四）指挥和通信保障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充分利用现有政府系统办公业务资源和专业系统资源，增强应急通信能力，完善各级、各类指挥调度机构间通信网络，保障通信畅通。</w:t>
      </w:r>
    </w:p>
    <w:p w:rsidR="009F3957" w:rsidRDefault="009F3957" w:rsidP="009F3957">
      <w:pPr>
        <w:pStyle w:val="2"/>
        <w:keepNext w:val="0"/>
        <w:keepLines w:val="0"/>
        <w:spacing w:line="54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（五）治安保障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属地派出所组织有关力量予以配合，做好警卫工作，严</w:t>
      </w:r>
      <w:r>
        <w:rPr>
          <w:rFonts w:ascii="仿宋_GB2312" w:eastAsia="仿宋_GB2312"/>
          <w:color w:val="000000"/>
          <w:kern w:val="2"/>
          <w:sz w:val="32"/>
          <w:szCs w:val="32"/>
        </w:rPr>
        <w:lastRenderedPageBreak/>
        <w:t>防危害社会安全稳定的事件发生。加强社会治安秩序和保卫工作。</w:t>
      </w:r>
    </w:p>
    <w:p w:rsidR="009F3957" w:rsidRDefault="009F3957" w:rsidP="009F3957">
      <w:pPr>
        <w:pStyle w:val="2"/>
        <w:keepNext w:val="0"/>
        <w:keepLines w:val="0"/>
        <w:spacing w:line="54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（六）医疗救援保障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事件造成人员伤害的，社发局应当立即开展应急救援工作，组织医护人员立即赶赴现场，开展医疗救治工作。</w:t>
      </w:r>
    </w:p>
    <w:p w:rsidR="009F3957" w:rsidRDefault="009F3957" w:rsidP="009F3957">
      <w:pPr>
        <w:pStyle w:val="2"/>
        <w:keepNext w:val="0"/>
        <w:keepLines w:val="0"/>
        <w:spacing w:line="54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（七）交通运输保障</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规建局牵头负责，健全完善运输能力应急调度机制，保证处置突发事件所需物资设备、应急救援人员和受到突发事件危害人员的优先运送。</w:t>
      </w:r>
    </w:p>
    <w:p w:rsidR="009F3957" w:rsidRDefault="009F3957" w:rsidP="009F3957">
      <w:pPr>
        <w:pStyle w:val="2"/>
        <w:keepNext w:val="0"/>
        <w:keepLines w:val="0"/>
        <w:spacing w:line="54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（八）宣传培训教育</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市场监管局应会同社发局加强合理用药宣传，引导公众正确认识和对待药品不良反应、医疗器械不良事件，提高全社会的防范和报告意识，防止和减少不合理用药、用械事件的发生。特别是在应急状态下，要引导媒体正确报道，避免引起社会恐慌。</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保税区管委会及其有关部门加强药品、医疗器械安全突发事件应急处置人员的教育培训工作，提高应急处置组织实施技能和水平。</w:t>
      </w:r>
    </w:p>
    <w:p w:rsidR="009F3957" w:rsidRDefault="009F3957" w:rsidP="009F3957">
      <w:pPr>
        <w:pStyle w:val="1"/>
        <w:autoSpaceDE w:val="0"/>
        <w:autoSpaceDN w:val="0"/>
        <w:adjustRightInd w:val="0"/>
        <w:spacing w:line="540" w:lineRule="exact"/>
        <w:ind w:firstLine="640"/>
        <w:rPr>
          <w:rFonts w:ascii="黑体" w:eastAsia="黑体" w:hAnsi="黑体" w:cs="黑体" w:hint="eastAsia"/>
          <w:bCs/>
          <w:color w:val="000000"/>
          <w:sz w:val="32"/>
          <w:szCs w:val="32"/>
        </w:rPr>
      </w:pPr>
      <w:r>
        <w:rPr>
          <w:rFonts w:ascii="黑体" w:eastAsia="黑体" w:hAnsi="黑体" w:cs="黑体" w:hint="eastAsia"/>
          <w:bCs/>
          <w:color w:val="000000"/>
          <w:sz w:val="32"/>
          <w:szCs w:val="32"/>
        </w:rPr>
        <w:t>六、预案保障</w:t>
      </w:r>
    </w:p>
    <w:p w:rsidR="009F3957" w:rsidRDefault="009F3957" w:rsidP="009F3957">
      <w:pPr>
        <w:pStyle w:val="2"/>
        <w:keepNext w:val="0"/>
        <w:keepLines w:val="0"/>
        <w:spacing w:line="54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（一）应急演练</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市场监管局要根据实际情况和工作需要，结合地区风险情况，每2年至少组织开展1次药品、医疗器械安全突发事件应急演练。通过演练检验和强化应急准备、协调和应急响应能力，并对演练结果进行总结和评估，进一步完善应急预案。有关基层组织和企事业单位根据相关法律法规，结合实</w:t>
      </w:r>
      <w:r>
        <w:rPr>
          <w:rFonts w:ascii="仿宋_GB2312" w:eastAsia="仿宋_GB2312"/>
          <w:color w:val="000000"/>
          <w:kern w:val="2"/>
          <w:sz w:val="32"/>
          <w:szCs w:val="32"/>
        </w:rPr>
        <w:lastRenderedPageBreak/>
        <w:t>际情况，定期或不定期组织本单位的应急演练。</w:t>
      </w:r>
    </w:p>
    <w:p w:rsidR="009F3957" w:rsidRDefault="009F3957" w:rsidP="009F3957">
      <w:pPr>
        <w:pStyle w:val="1"/>
        <w:autoSpaceDE w:val="0"/>
        <w:autoSpaceDN w:val="0"/>
        <w:adjustRightInd w:val="0"/>
        <w:spacing w:line="540" w:lineRule="exact"/>
        <w:ind w:firstLine="640"/>
        <w:rPr>
          <w:rFonts w:ascii="黑体" w:eastAsia="黑体" w:hAnsi="黑体" w:cs="黑体" w:hint="eastAsia"/>
          <w:bCs/>
          <w:color w:val="000000"/>
          <w:sz w:val="32"/>
          <w:szCs w:val="32"/>
        </w:rPr>
      </w:pPr>
      <w:r>
        <w:rPr>
          <w:rFonts w:ascii="黑体" w:eastAsia="黑体" w:hAnsi="黑体" w:cs="黑体" w:hint="eastAsia"/>
          <w:bCs/>
          <w:color w:val="000000"/>
          <w:sz w:val="32"/>
          <w:szCs w:val="32"/>
        </w:rPr>
        <w:t>七、附则</w:t>
      </w:r>
    </w:p>
    <w:p w:rsidR="009F3957" w:rsidRDefault="009F3957" w:rsidP="009F3957">
      <w:pPr>
        <w:pStyle w:val="2"/>
        <w:keepNext w:val="0"/>
        <w:keepLines w:val="0"/>
        <w:spacing w:line="54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（一）术语解释</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药品：是指用于预防、治疗、诊断人的疾病，有目的地调节人的生理机能并规定有适应症或者功能主治、用法和用量的物质，包括中药、化学药和生物制品等。</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医疗器械：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药品不良反应：指合格药品在正常用法用量下出现的与用药目的无关的有害反应。</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医疗器械不良事件：指已上市的医疗器械，在正常使用情况下发生的，导致或者可能导致人体伤害的各种有害事件。</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药品医疗器械安全突发事件：指同一药品、医疗器械在使用过程中，在相对集中的时间、区域内，对一定数量人群的身体健康或生命安全造成损害或威胁，需要予以紧急处置的突发事件。</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同一药品：指同一生产企业生产的同一药品名称、同一剂型、同一规格的药品。</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同一医疗器械：指同一生产企业生产的同一产品名称、同一规格、同一型号的医疗器械。</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药品不良反应、医疗器械不良事件报告和监测：是指药品不良反应、医疗器械不良事件的发现、报告、评价和控制</w:t>
      </w:r>
      <w:r>
        <w:rPr>
          <w:rFonts w:ascii="仿宋_GB2312" w:eastAsia="仿宋_GB2312"/>
          <w:color w:val="000000"/>
          <w:kern w:val="2"/>
          <w:sz w:val="32"/>
          <w:szCs w:val="32"/>
        </w:rPr>
        <w:lastRenderedPageBreak/>
        <w:t>的过程。</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严重药品不良反应、医疗器械不良事件：是指因使用药品、医疗器械引起以下损害情形之一的反应：导致死亡；危及生命；致癌、致畸、致出生缺陷；导致显著的或者永久的人体伤残或者器官功能的损伤；导致住院或者住院时间延长；导致其他重要医学事故，如不进行治疗可能出现上述所列情况的。</w:t>
      </w:r>
    </w:p>
    <w:p w:rsidR="009F3957" w:rsidRDefault="009F3957" w:rsidP="009F3957">
      <w:pPr>
        <w:pStyle w:val="2"/>
        <w:keepNext w:val="0"/>
        <w:keepLines w:val="0"/>
        <w:spacing w:line="540" w:lineRule="exact"/>
        <w:ind w:firstLineChars="200" w:firstLine="643"/>
        <w:jc w:val="both"/>
        <w:rPr>
          <w:rFonts w:ascii="楷体_GB2312" w:eastAsia="楷体_GB2312" w:hAnsi="宋体" w:hint="eastAsia"/>
          <w:bCs/>
          <w:color w:val="000000"/>
          <w:sz w:val="32"/>
          <w:szCs w:val="32"/>
        </w:rPr>
      </w:pPr>
      <w:r>
        <w:rPr>
          <w:rFonts w:ascii="楷体_GB2312" w:eastAsia="楷体_GB2312" w:hAnsi="宋体" w:hint="eastAsia"/>
          <w:bCs/>
          <w:color w:val="000000"/>
          <w:sz w:val="32"/>
          <w:szCs w:val="32"/>
        </w:rPr>
        <w:t>（二）预案管理</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本预案由市场监管局会同有关部门制定，报保税区管委会批准后实施。</w:t>
      </w:r>
    </w:p>
    <w:p w:rsidR="009F3957" w:rsidRDefault="009F3957" w:rsidP="009F3957">
      <w:pPr>
        <w:pStyle w:val="HTML"/>
        <w:spacing w:line="54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本预案由市场监管局负责解释，并根据实施过程中发现的问题、遇有关情况发生重大变化及时修订，修订后的应急预案重新办理审查、论证、备案等各项程序。</w:t>
      </w:r>
    </w:p>
    <w:p w:rsidR="00B116A0" w:rsidRPr="009F3957" w:rsidRDefault="009F3957" w:rsidP="009F3957">
      <w:pPr>
        <w:pStyle w:val="HTML"/>
        <w:spacing w:line="540" w:lineRule="exact"/>
        <w:ind w:firstLineChars="200" w:firstLine="640"/>
        <w:jc w:val="both"/>
        <w:rPr>
          <w:rFonts w:ascii="仿宋_GB2312" w:hAnsi="仿宋_GB2312"/>
          <w:color w:val="000000"/>
          <w:szCs w:val="32"/>
        </w:rPr>
      </w:pPr>
      <w:r>
        <w:rPr>
          <w:rFonts w:ascii="仿宋_GB2312" w:eastAsia="仿宋_GB2312"/>
          <w:color w:val="000000"/>
          <w:kern w:val="2"/>
          <w:sz w:val="32"/>
          <w:szCs w:val="32"/>
        </w:rPr>
        <w:t>本预案自发布之日起施行。原2020版《天津港保税区药品和医疗器械安全突发事件应急预案》同时废止。</w:t>
      </w:r>
    </w:p>
    <w:sectPr w:rsidR="00B116A0" w:rsidRPr="009F3957" w:rsidSect="00B116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3957"/>
    <w:rsid w:val="009F3957"/>
    <w:rsid w:val="00B116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957"/>
    <w:pPr>
      <w:widowControl w:val="0"/>
      <w:jc w:val="both"/>
    </w:pPr>
    <w:rPr>
      <w:rFonts w:ascii="Calibri" w:eastAsia="宋体" w:hAnsi="Calibri" w:cs="Times New Roman"/>
      <w:szCs w:val="24"/>
    </w:rPr>
  </w:style>
  <w:style w:type="paragraph" w:styleId="2">
    <w:name w:val="heading 2"/>
    <w:basedOn w:val="a"/>
    <w:next w:val="a"/>
    <w:link w:val="2Char"/>
    <w:qFormat/>
    <w:rsid w:val="009F3957"/>
    <w:pPr>
      <w:keepNext/>
      <w:keepLines/>
      <w:spacing w:line="360" w:lineRule="auto"/>
      <w:jc w:val="left"/>
      <w:outlineLvl w:val="1"/>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9F3957"/>
    <w:rPr>
      <w:rFonts w:ascii="Arial" w:eastAsia="宋体" w:hAnsi="Arial" w:cs="Times New Roman"/>
      <w:b/>
      <w:sz w:val="28"/>
      <w:szCs w:val="24"/>
    </w:rPr>
  </w:style>
  <w:style w:type="paragraph" w:styleId="HTML">
    <w:name w:val="HTML Preformatted"/>
    <w:basedOn w:val="a"/>
    <w:link w:val="HTMLChar"/>
    <w:qFormat/>
    <w:rsid w:val="009F3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9F3957"/>
    <w:rPr>
      <w:rFonts w:ascii="宋体" w:eastAsia="宋体" w:hAnsi="宋体" w:cs="Times New Roman"/>
      <w:kern w:val="0"/>
      <w:sz w:val="24"/>
      <w:szCs w:val="24"/>
    </w:rPr>
  </w:style>
  <w:style w:type="paragraph" w:customStyle="1" w:styleId="1">
    <w:name w:val="列出段落1"/>
    <w:basedOn w:val="a"/>
    <w:uiPriority w:val="34"/>
    <w:qFormat/>
    <w:rsid w:val="009F395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1854</Words>
  <Characters>10569</Characters>
  <Application>Microsoft Office Word</Application>
  <DocSecurity>0</DocSecurity>
  <Lines>88</Lines>
  <Paragraphs>24</Paragraphs>
  <ScaleCrop>false</ScaleCrop>
  <Company/>
  <LinksUpToDate>false</LinksUpToDate>
  <CharactersWithSpaces>12399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王瀚</dc:creator>
  <cp:lastModifiedBy>王瀚</cp:lastModifiedBy>
  <cp:revision>1</cp:revision>
  <dcterms:created xsi:type="dcterms:W3CDTF">2025-09-28T02:52:00Z</dcterms:created>
  <dcterms:modified xsi:type="dcterms:W3CDTF">2025-09-28T02:53:00Z</dcterms:modified>
</cp:coreProperties>
</file>