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520C2">
      <w:pPr>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项目代码</w:t>
      </w:r>
      <w:r>
        <w:rPr>
          <w:rFonts w:hint="eastAsia" w:ascii="方正小标宋简体" w:eastAsia="方正小标宋简体"/>
          <w:sz w:val="32"/>
          <w:szCs w:val="32"/>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506</w:t>
      </w:r>
      <w:r>
        <w:rPr>
          <w:rFonts w:hint="eastAsia" w:ascii="仿宋_GB2312" w:hAnsi="仿宋_GB2312" w:eastAsia="仿宋_GB2312" w:cs="仿宋_GB2312"/>
          <w:sz w:val="32"/>
          <w:szCs w:val="32"/>
        </w:rPr>
        <w:t>-120317-89-01-</w:t>
      </w:r>
      <w:r>
        <w:rPr>
          <w:rFonts w:hint="eastAsia" w:ascii="仿宋_GB2312" w:hAnsi="仿宋_GB2312" w:eastAsia="仿宋_GB2312" w:cs="仿宋_GB2312"/>
          <w:sz w:val="32"/>
          <w:szCs w:val="32"/>
          <w:lang w:val="en-US" w:eastAsia="zh-CN"/>
        </w:rPr>
        <w:t>293581</w:t>
      </w:r>
    </w:p>
    <w:p w14:paraId="1ADB32DB">
      <w:pPr>
        <w:jc w:val="both"/>
        <w:rPr>
          <w:rFonts w:hint="eastAsia" w:ascii="方正小标宋简体" w:eastAsia="方正小标宋简体"/>
          <w:sz w:val="32"/>
          <w:szCs w:val="32"/>
        </w:rPr>
      </w:pPr>
    </w:p>
    <w:p w14:paraId="5FB5B7B5">
      <w:pPr>
        <w:pStyle w:val="2"/>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rPr>
      </w:pPr>
    </w:p>
    <w:p w14:paraId="3578D446">
      <w:pPr>
        <w:spacing w:line="400" w:lineRule="exact"/>
        <w:jc w:val="center"/>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津保审环</w:t>
      </w:r>
      <w:r>
        <w:rPr>
          <w:rFonts w:hint="eastAsia" w:ascii="仿宋_GB2312" w:hAnsi="仿宋_GB2312" w:eastAsia="仿宋_GB2312" w:cs="仿宋_GB2312"/>
          <w:sz w:val="32"/>
          <w:szCs w:val="32"/>
        </w:rPr>
        <w:t>准〔20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18</w:t>
      </w:r>
      <w:r>
        <w:rPr>
          <w:rFonts w:hint="eastAsia" w:ascii="Times New Roman" w:hAnsi="Times New Roman" w:eastAsia="仿宋_GB2312" w:cs="Times New Roman"/>
          <w:sz w:val="32"/>
          <w:szCs w:val="32"/>
        </w:rPr>
        <w:t>号</w:t>
      </w:r>
    </w:p>
    <w:p w14:paraId="5CC3D40D">
      <w:pPr>
        <w:spacing w:line="400" w:lineRule="exact"/>
        <w:jc w:val="center"/>
        <w:rPr>
          <w:rFonts w:hint="eastAsia" w:ascii="Times New Roman" w:hAnsi="Times New Roman" w:eastAsia="仿宋_GB2312" w:cs="Times New Roman"/>
          <w:sz w:val="32"/>
          <w:szCs w:val="32"/>
        </w:rPr>
      </w:pPr>
    </w:p>
    <w:p w14:paraId="1A6A3414">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关于天津港保税</w:t>
      </w:r>
      <w:bookmarkStart w:id="1" w:name="_GoBack"/>
      <w:bookmarkEnd w:id="1"/>
      <w:r>
        <w:rPr>
          <w:rFonts w:hint="eastAsia" w:ascii="方正小标宋简体" w:hAnsi="Calibri" w:eastAsia="方正小标宋简体" w:cs="Times New Roman"/>
          <w:sz w:val="44"/>
          <w:szCs w:val="28"/>
          <w:lang w:val="en-US" w:eastAsia="zh-CN"/>
        </w:rPr>
        <w:t>区临港公共岸线生态修复治理项目—中港池北部岸线生态修复治理二期工程（4.0公里海堤）环境影响报告书的批复</w:t>
      </w:r>
    </w:p>
    <w:p w14:paraId="4FFDF14E">
      <w:pPr>
        <w:pStyle w:val="2"/>
        <w:rPr>
          <w:rFonts w:hint="eastAsia"/>
          <w:lang w:val="en-US" w:eastAsia="zh-CN"/>
        </w:rPr>
      </w:pPr>
    </w:p>
    <w:p w14:paraId="5AE2E768">
      <w:pPr>
        <w:keepNext w:val="0"/>
        <w:keepLines w:val="0"/>
        <w:pageBreakBefore w:val="0"/>
        <w:widowControl w:val="0"/>
        <w:kinsoku/>
        <w:wordWrap/>
        <w:overflowPunct/>
        <w:topLinePunct w:val="0"/>
        <w:autoSpaceDE/>
        <w:autoSpaceDN/>
        <w:bidi w:val="0"/>
        <w:adjustRightInd/>
        <w:snapToGrid/>
        <w:spacing w:line="6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天津港保税区建设服务中心：</w:t>
      </w:r>
    </w:p>
    <w:p w14:paraId="35F0F891">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你单位所报《天津港保税区临港公共岸线生态修复治理项目—中港池北部岸线生态修复治理二期工程（4.0公里海堤）环境影响报告书》（以下简称报告书）等材料收悉，经研究，批复如下：</w:t>
      </w:r>
    </w:p>
    <w:p w14:paraId="0581F75A">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该工程位于天津港保税区临港区域围而未填海域东侧，用海面积为33.7010公顷，用海类型为特殊用海中的海岸防护工程用海，用海方式为构筑物用海中的非透水构筑物。4.0公里海堤工程轴线长度为3992米，未突破现状围堤向海侧坡脚线，未新增用海面积，分为南堤内侧段和南堤外侧段。南堤内侧段在原西隔堤基础上进行建设，采用复合斜坡结构，主要工程包括块石护面、生态护坡、顶高程+6.0米的混凝土挡浪墙、4米宽巡堤路及陆侧放坡；南堤外侧段在原南围堤基础上进行建设，采用单级斜坡结构，主要工程包括护底块石换填、块石护面、顶高程+8.0~+8.2米的混凝土挡浪墙、4米宽巡堤路及陆侧放坡。该项目海堤工程轴线长度为3992米，申请用海范围内修复使用人工岸线3982米。</w:t>
      </w:r>
    </w:p>
    <w:p w14:paraId="410C9B9B">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根据该工程完成的报告书结论及《关于天津港保税区临港公共岸线生态修复治理项目—中港池北部岸线生态修复治理二期工程（4.0公里海堤）环境影响报告书的技术评估报告》（保税评估书[2025]010号），在该工程全面落实报告书提出的各项生态环境保护措施后，该工程可以满足国家海洋生态环境保护相关法律法规和标准的要求。我局原则同意批准该环境影响报告书。</w:t>
      </w:r>
    </w:p>
    <w:p w14:paraId="1B679D7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三、该工程运营期间，应加强海洋环境保护与生态修复，严格落实报告书提出的海洋生物资源修复、海洋生态环境跟踪监测等生态环境保护措施，切实保障渔业资源经济损失生态</w:t>
      </w:r>
      <w:bookmarkStart w:id="0" w:name="_Hlk41523797"/>
      <w:r>
        <w:rPr>
          <w:rFonts w:hint="eastAsia" w:ascii="仿宋_GB2312" w:hAnsi="仿宋_GB2312" w:eastAsia="仿宋_GB2312" w:cs="仿宋_GB2312"/>
          <w:sz w:val="32"/>
          <w:szCs w:val="32"/>
          <w:lang w:val="en-US" w:eastAsia="zh-CN"/>
        </w:rPr>
        <w:t>补偿</w:t>
      </w:r>
      <w:bookmarkEnd w:id="0"/>
      <w:r>
        <w:rPr>
          <w:rFonts w:hint="eastAsia" w:ascii="仿宋_GB2312" w:hAnsi="仿宋_GB2312" w:eastAsia="仿宋_GB2312" w:cs="仿宋_GB2312"/>
          <w:sz w:val="32"/>
          <w:szCs w:val="32"/>
          <w:lang w:val="en-US" w:eastAsia="zh-CN"/>
        </w:rPr>
        <w:t>资金落实到位。</w:t>
      </w:r>
    </w:p>
    <w:p w14:paraId="7DC1DEC3">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根据《水产种质资源保护区管理暂行办法》的相关规定，你单位应按照渔业主管部门的要求，依法开展该工程对辽东湾渤海湾莱州湾国家级水产种质资源保护区的影响专题论证工作，并按规定程序报有审批权限部门进行审批，按要求组织落实补偿措施。</w:t>
      </w:r>
    </w:p>
    <w:p w14:paraId="30F440CC">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此复</w:t>
      </w:r>
    </w:p>
    <w:p w14:paraId="6660CB7A">
      <w:pPr>
        <w:keepNext w:val="0"/>
        <w:keepLines w:val="0"/>
        <w:pageBreakBefore w:val="0"/>
        <w:widowControl w:val="0"/>
        <w:tabs>
          <w:tab w:val="left" w:pos="434"/>
        </w:tabs>
        <w:kinsoku/>
        <w:wordWrap/>
        <w:overflowPunct/>
        <w:topLinePunct w:val="0"/>
        <w:autoSpaceDE/>
        <w:autoSpaceDN/>
        <w:bidi w:val="0"/>
        <w:adjustRightInd/>
        <w:snapToGrid/>
        <w:spacing w:line="64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2025年9月3日</w:t>
      </w:r>
    </w:p>
    <w:p w14:paraId="2F9184DB">
      <w:pPr>
        <w:pStyle w:val="2"/>
        <w:rPr>
          <w:rFonts w:hint="eastAsia" w:ascii="仿宋_GB2312" w:hAnsi="仿宋_GB2312" w:eastAsia="仿宋_GB2312" w:cs="仿宋_GB2312"/>
          <w:sz w:val="32"/>
          <w:szCs w:val="32"/>
          <w:lang w:val="en-US" w:eastAsia="zh-CN"/>
        </w:rPr>
      </w:pPr>
    </w:p>
    <w:p w14:paraId="1EC0756E">
      <w:pPr>
        <w:rPr>
          <w:rFonts w:hint="eastAsia" w:ascii="仿宋_GB2312" w:hAnsi="仿宋_GB2312" w:eastAsia="仿宋_GB2312" w:cs="仿宋_GB2312"/>
          <w:sz w:val="32"/>
          <w:szCs w:val="32"/>
          <w:lang w:val="en-US" w:eastAsia="zh-CN"/>
        </w:rPr>
      </w:pPr>
    </w:p>
    <w:p w14:paraId="07897736">
      <w:pPr>
        <w:pStyle w:val="2"/>
        <w:rPr>
          <w:rFonts w:hint="eastAsia" w:ascii="仿宋_GB2312" w:hAnsi="仿宋_GB2312" w:eastAsia="仿宋_GB2312" w:cs="仿宋_GB2312"/>
          <w:sz w:val="32"/>
          <w:szCs w:val="32"/>
          <w:lang w:val="en-US" w:eastAsia="zh-CN"/>
        </w:rPr>
      </w:pPr>
    </w:p>
    <w:p w14:paraId="2E4C50FD">
      <w:pPr>
        <w:rPr>
          <w:rFonts w:hint="eastAsia" w:ascii="仿宋_GB2312" w:hAnsi="仿宋_GB2312" w:eastAsia="仿宋_GB2312" w:cs="仿宋_GB2312"/>
          <w:sz w:val="32"/>
          <w:szCs w:val="32"/>
          <w:lang w:val="en-US" w:eastAsia="zh-CN"/>
        </w:rPr>
      </w:pPr>
    </w:p>
    <w:p w14:paraId="73CB4138">
      <w:pPr>
        <w:pStyle w:val="2"/>
        <w:rPr>
          <w:rFonts w:hint="eastAsia" w:ascii="仿宋_GB2312" w:hAnsi="仿宋_GB2312" w:eastAsia="仿宋_GB2312" w:cs="仿宋_GB2312"/>
          <w:sz w:val="32"/>
          <w:szCs w:val="32"/>
          <w:lang w:val="en-US" w:eastAsia="zh-CN"/>
        </w:rPr>
      </w:pPr>
    </w:p>
    <w:p w14:paraId="547112F8">
      <w:pPr>
        <w:rPr>
          <w:rFonts w:hint="eastAsia" w:ascii="仿宋_GB2312" w:hAnsi="仿宋_GB2312" w:eastAsia="仿宋_GB2312" w:cs="仿宋_GB2312"/>
          <w:sz w:val="32"/>
          <w:szCs w:val="32"/>
          <w:lang w:val="en-US" w:eastAsia="zh-CN"/>
        </w:rPr>
      </w:pPr>
    </w:p>
    <w:p w14:paraId="715047C7">
      <w:pPr>
        <w:pStyle w:val="2"/>
        <w:rPr>
          <w:rFonts w:hint="eastAsia" w:ascii="仿宋_GB2312" w:hAnsi="仿宋_GB2312" w:eastAsia="仿宋_GB2312" w:cs="仿宋_GB2312"/>
          <w:sz w:val="32"/>
          <w:szCs w:val="32"/>
          <w:lang w:val="en-US" w:eastAsia="zh-CN"/>
        </w:rPr>
      </w:pPr>
    </w:p>
    <w:p w14:paraId="76DB5E40">
      <w:pPr>
        <w:rPr>
          <w:rFonts w:hint="eastAsia" w:ascii="仿宋_GB2312" w:hAnsi="仿宋_GB2312" w:eastAsia="仿宋_GB2312" w:cs="仿宋_GB2312"/>
          <w:sz w:val="32"/>
          <w:szCs w:val="32"/>
          <w:lang w:val="en-US" w:eastAsia="zh-CN"/>
        </w:rPr>
      </w:pPr>
    </w:p>
    <w:p w14:paraId="33DB18DA">
      <w:pPr>
        <w:pStyle w:val="2"/>
        <w:rPr>
          <w:rFonts w:hint="eastAsia" w:ascii="仿宋_GB2312" w:hAnsi="仿宋_GB2312" w:eastAsia="仿宋_GB2312" w:cs="仿宋_GB2312"/>
          <w:sz w:val="32"/>
          <w:szCs w:val="32"/>
          <w:lang w:val="en-US" w:eastAsia="zh-CN"/>
        </w:rPr>
      </w:pPr>
    </w:p>
    <w:p w14:paraId="103404E0">
      <w:pPr>
        <w:rPr>
          <w:rFonts w:hint="eastAsia" w:ascii="仿宋_GB2312" w:hAnsi="仿宋_GB2312" w:eastAsia="仿宋_GB2312" w:cs="仿宋_GB2312"/>
          <w:sz w:val="32"/>
          <w:szCs w:val="32"/>
          <w:lang w:val="en-US" w:eastAsia="zh-CN"/>
        </w:rPr>
      </w:pPr>
    </w:p>
    <w:p w14:paraId="426EE14C">
      <w:pPr>
        <w:pStyle w:val="2"/>
        <w:rPr>
          <w:rFonts w:hint="eastAsia" w:ascii="仿宋_GB2312" w:hAnsi="仿宋_GB2312" w:eastAsia="仿宋_GB2312" w:cs="仿宋_GB2312"/>
          <w:sz w:val="32"/>
          <w:szCs w:val="32"/>
          <w:lang w:val="en-US" w:eastAsia="zh-CN"/>
        </w:rPr>
      </w:pPr>
    </w:p>
    <w:p w14:paraId="098D40D0">
      <w:pPr>
        <w:rPr>
          <w:rFonts w:hint="eastAsia" w:ascii="仿宋_GB2312" w:hAnsi="仿宋_GB2312" w:eastAsia="仿宋_GB2312" w:cs="仿宋_GB2312"/>
          <w:sz w:val="32"/>
          <w:szCs w:val="32"/>
          <w:lang w:val="en-US" w:eastAsia="zh-CN"/>
        </w:rPr>
      </w:pPr>
    </w:p>
    <w:p w14:paraId="3D477CC4">
      <w:pPr>
        <w:pStyle w:val="2"/>
        <w:rPr>
          <w:rFonts w:hint="eastAsia" w:ascii="仿宋_GB2312" w:hAnsi="仿宋_GB2312" w:eastAsia="仿宋_GB2312" w:cs="仿宋_GB2312"/>
          <w:sz w:val="32"/>
          <w:szCs w:val="32"/>
          <w:lang w:val="en-US" w:eastAsia="zh-CN"/>
        </w:rPr>
      </w:pPr>
    </w:p>
    <w:p w14:paraId="6BDE5B30">
      <w:pPr>
        <w:rPr>
          <w:rFonts w:hint="eastAsia" w:ascii="仿宋_GB2312" w:hAnsi="仿宋_GB2312" w:eastAsia="仿宋_GB2312" w:cs="仿宋_GB2312"/>
          <w:sz w:val="32"/>
          <w:szCs w:val="32"/>
          <w:lang w:val="en-US" w:eastAsia="zh-CN"/>
        </w:rPr>
      </w:pPr>
    </w:p>
    <w:p w14:paraId="101316D8">
      <w:pPr>
        <w:rPr>
          <w:rFonts w:hint="eastAsia" w:ascii="仿宋_GB2312" w:hAnsi="仿宋_GB2312" w:eastAsia="仿宋_GB2312" w:cs="仿宋_GB2312"/>
          <w:sz w:val="32"/>
          <w:szCs w:val="32"/>
          <w:lang w:val="en-US" w:eastAsia="zh-CN"/>
        </w:rPr>
      </w:pPr>
    </w:p>
    <w:p w14:paraId="6FC98EA9">
      <w:pPr>
        <w:pStyle w:val="2"/>
      </w:pPr>
    </w:p>
    <w:p w14:paraId="2112862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u w:val="single"/>
          <w:lang w:val="en-US" w:eastAsia="zh-CN"/>
        </w:rPr>
        <w:t xml:space="preserve">抄送：城市环境管理局、博海达环境科技（天津）有限公司                                                      </w:t>
      </w:r>
    </w:p>
    <w:p w14:paraId="7E42A78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天津港保税区行政审批局               2025年9月3日印</w:t>
      </w:r>
    </w:p>
    <w:sectPr>
      <w:footerReference r:id="rId3" w:type="default"/>
      <w:footerReference r:id="rId4" w:type="even"/>
      <w:pgSz w:w="11906" w:h="16838"/>
      <w:pgMar w:top="1985" w:right="1474" w:bottom="1984" w:left="1588" w:header="851" w:footer="992" w:gutter="0"/>
      <w:pgNumType w:fmt="numberInDash"/>
      <w:cols w:space="720" w:num="1"/>
      <w:docGrid w:type="lines" w:linePitch="48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宋体"/>
    <w:panose1 w:val="00000000000000000000"/>
    <w:charset w:val="86"/>
    <w:family w:val="auto"/>
    <w:pitch w:val="default"/>
    <w:sig w:usb0="00000000" w:usb1="00000000" w:usb2="00000010" w:usb3="00000000" w:csb0="00040001" w:csb1="00000000"/>
  </w:font>
  <w:font w:name="Cambria Math">
    <w:panose1 w:val="02040503050406030204"/>
    <w:charset w:val="01"/>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83A2">
    <w:pPr>
      <w:pStyle w:val="6"/>
      <w:tabs>
        <w:tab w:val="center" w:pos="4422"/>
        <w:tab w:val="right" w:pos="8844"/>
      </w:tabs>
      <w:jc w:val="right"/>
      <w:rPr>
        <w:sz w:val="28"/>
      </w:rPr>
    </w:pPr>
    <w:r>
      <w:rPr>
        <w:rStyle w:val="12"/>
        <w:sz w:val="28"/>
      </w:rPr>
      <w:tab/>
    </w:r>
    <w:r>
      <w:rPr>
        <w:rStyle w:val="12"/>
        <w:sz w:val="28"/>
      </w:rPr>
      <w:tab/>
    </w:r>
    <w:r>
      <w:rPr>
        <w:rStyle w:val="12"/>
        <w:sz w:val="28"/>
      </w:rPr>
      <w:fldChar w:fldCharType="begin"/>
    </w:r>
    <w:r>
      <w:rPr>
        <w:rStyle w:val="12"/>
        <w:sz w:val="28"/>
      </w:rPr>
      <w:instrText xml:space="preserve">PAGE  </w:instrText>
    </w:r>
    <w:r>
      <w:rPr>
        <w:rStyle w:val="12"/>
        <w:sz w:val="28"/>
      </w:rPr>
      <w:fldChar w:fldCharType="separate"/>
    </w:r>
    <w:r>
      <w:rPr>
        <w:rStyle w:val="12"/>
        <w:sz w:val="28"/>
      </w:rPr>
      <w:t>- 1 -</w:t>
    </w:r>
    <w:r>
      <w:rPr>
        <w:rStyle w:val="12"/>
        <w:sz w:val="28"/>
      </w:rPr>
      <w:fldChar w:fldCharType="end"/>
    </w:r>
    <w:r>
      <w:rPr>
        <w:rStyle w:val="12"/>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58F4F">
    <w:pPr>
      <w:pStyle w:val="6"/>
      <w:jc w:val="right"/>
      <w:rPr>
        <w:sz w:val="28"/>
      </w:rPr>
    </w:pPr>
    <w:r>
      <w:rPr>
        <w:rStyle w:val="12"/>
        <w:sz w:val="28"/>
      </w:rPr>
      <w:fldChar w:fldCharType="begin"/>
    </w:r>
    <w:r>
      <w:rPr>
        <w:rStyle w:val="12"/>
        <w:sz w:val="28"/>
      </w:rPr>
      <w:instrText xml:space="preserve">PAGE  </w:instrText>
    </w:r>
    <w:r>
      <w:rPr>
        <w:rStyle w:val="12"/>
        <w:sz w:val="28"/>
      </w:rPr>
      <w:fldChar w:fldCharType="separate"/>
    </w:r>
    <w:r>
      <w:rPr>
        <w:rStyle w:val="12"/>
        <w:sz w:val="28"/>
      </w:rPr>
      <w:t>- 4 -</w:t>
    </w:r>
    <w:r>
      <w:rPr>
        <w:rStyle w:val="12"/>
        <w:sz w:val="28"/>
      </w:rPr>
      <w:fldChar w:fldCharType="end"/>
    </w:r>
    <w:r>
      <w:rPr>
        <w:rStyle w:val="12"/>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686F1A"/>
    <w:rsid w:val="088B393E"/>
    <w:rsid w:val="11DB5BD0"/>
    <w:rsid w:val="12C909E1"/>
    <w:rsid w:val="13201D56"/>
    <w:rsid w:val="13780074"/>
    <w:rsid w:val="185E22ED"/>
    <w:rsid w:val="1A8B00E9"/>
    <w:rsid w:val="1C7E4ACB"/>
    <w:rsid w:val="202C281D"/>
    <w:rsid w:val="21C36564"/>
    <w:rsid w:val="2E530C6F"/>
    <w:rsid w:val="33907AA4"/>
    <w:rsid w:val="35D41F5E"/>
    <w:rsid w:val="40B84E37"/>
    <w:rsid w:val="4115308A"/>
    <w:rsid w:val="45703A5D"/>
    <w:rsid w:val="5656056B"/>
    <w:rsid w:val="5EC45D6A"/>
    <w:rsid w:val="630E5807"/>
    <w:rsid w:val="65EA1E09"/>
    <w:rsid w:val="6AD71F18"/>
    <w:rsid w:val="6F6427AF"/>
    <w:rsid w:val="77C24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uiPriority w:val="0"/>
    <w:pPr>
      <w:spacing w:line="360" w:lineRule="auto"/>
    </w:pPr>
    <w:rPr>
      <w:kern w:val="0"/>
      <w:sz w:val="24"/>
      <w:szCs w:val="22"/>
    </w:rPr>
  </w:style>
  <w:style w:type="paragraph" w:styleId="3">
    <w:name w:val="Normal Indent"/>
    <w:basedOn w:val="1"/>
    <w:next w:val="1"/>
    <w:qFormat/>
    <w:uiPriority w:val="99"/>
    <w:pPr>
      <w:ind w:firstLine="420" w:firstLineChars="200"/>
    </w:pPr>
    <w:rPr>
      <w:kern w:val="0"/>
      <w:sz w:val="20"/>
    </w:rPr>
  </w:style>
  <w:style w:type="paragraph" w:styleId="4">
    <w:name w:val="Body Text"/>
    <w:basedOn w:val="1"/>
    <w:link w:val="16"/>
    <w:qFormat/>
    <w:uiPriority w:val="0"/>
    <w:rPr>
      <w:rFonts w:ascii="Times New Roman" w:hAnsi="Times New Roman" w:eastAsia="文星仿宋" w:cs="Times New Roman"/>
      <w:sz w:val="32"/>
      <w:szCs w:val="24"/>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line="270" w:lineRule="atLeast"/>
      <w:jc w:val="left"/>
    </w:pPr>
    <w:rPr>
      <w:rFonts w:ascii="宋体" w:hAnsi="宋体" w:eastAsia="宋体" w:cs="宋体"/>
      <w:kern w:val="0"/>
      <w:sz w:val="24"/>
      <w:szCs w:val="24"/>
    </w:rPr>
  </w:style>
  <w:style w:type="character" w:styleId="11">
    <w:name w:val="Strong"/>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customStyle="1" w:styleId="14">
    <w:name w:val="页眉 Char"/>
    <w:basedOn w:val="10"/>
    <w:link w:val="7"/>
    <w:qFormat/>
    <w:uiPriority w:val="99"/>
    <w:rPr>
      <w:sz w:val="18"/>
      <w:szCs w:val="18"/>
    </w:rPr>
  </w:style>
  <w:style w:type="character" w:customStyle="1" w:styleId="15">
    <w:name w:val="页脚 Char"/>
    <w:basedOn w:val="10"/>
    <w:link w:val="6"/>
    <w:semiHidden/>
    <w:qFormat/>
    <w:uiPriority w:val="0"/>
    <w:rPr>
      <w:sz w:val="18"/>
      <w:szCs w:val="18"/>
    </w:rPr>
  </w:style>
  <w:style w:type="character" w:customStyle="1" w:styleId="16">
    <w:name w:val="正文文本 Char"/>
    <w:basedOn w:val="10"/>
    <w:link w:val="4"/>
    <w:qFormat/>
    <w:uiPriority w:val="0"/>
    <w:rPr>
      <w:rFonts w:ascii="Times New Roman" w:hAnsi="Times New Roman" w:eastAsia="文星仿宋" w:cs="Times New Roman"/>
      <w:sz w:val="32"/>
      <w:szCs w:val="24"/>
    </w:rPr>
  </w:style>
  <w:style w:type="character" w:customStyle="1" w:styleId="17">
    <w:name w:val="批注框文本 Char"/>
    <w:basedOn w:val="10"/>
    <w:link w:val="5"/>
    <w:semiHidden/>
    <w:qFormat/>
    <w:uiPriority w:val="99"/>
    <w:rPr>
      <w:sz w:val="18"/>
      <w:szCs w:val="18"/>
    </w:rPr>
  </w:style>
  <w:style w:type="paragraph" w:styleId="18">
    <w:name w:val="List Paragraph"/>
    <w:basedOn w:val="1"/>
    <w:qFormat/>
    <w:uiPriority w:val="34"/>
    <w:pPr>
      <w:ind w:firstLine="420" w:firstLineChars="200"/>
    </w:pPr>
  </w:style>
  <w:style w:type="paragraph" w:customStyle="1" w:styleId="19">
    <w:name w:val="环评正文"/>
    <w:basedOn w:val="1"/>
    <w:link w:val="20"/>
    <w:qFormat/>
    <w:uiPriority w:val="0"/>
    <w:pPr>
      <w:spacing w:line="360" w:lineRule="auto"/>
      <w:ind w:firstLine="200" w:firstLineChars="200"/>
    </w:pPr>
    <w:rPr>
      <w:rFonts w:ascii="Cambria Math" w:hAnsi="Cambria Math" w:eastAsia="宋体" w:cs="Times New Roman"/>
      <w:sz w:val="24"/>
      <w:szCs w:val="24"/>
    </w:rPr>
  </w:style>
  <w:style w:type="character" w:customStyle="1" w:styleId="20">
    <w:name w:val="环评正文 Char"/>
    <w:link w:val="19"/>
    <w:qFormat/>
    <w:uiPriority w:val="0"/>
    <w:rPr>
      <w:rFonts w:ascii="Cambria Math" w:hAnsi="Cambria Math" w:eastAsia="宋体" w:cs="Times New Roman"/>
      <w:sz w:val="24"/>
      <w:szCs w:val="24"/>
    </w:rPr>
  </w:style>
  <w:style w:type="character" w:customStyle="1" w:styleId="21">
    <w:name w:val="fontstyle01"/>
    <w:basedOn w:val="10"/>
    <w:qFormat/>
    <w:uiPriority w:val="0"/>
    <w:rPr>
      <w:rFonts w:hint="eastAsia" w:ascii="宋体" w:hAnsi="宋体" w:eastAsia="宋体"/>
      <w:color w:val="000000"/>
      <w:sz w:val="24"/>
      <w:szCs w:val="24"/>
    </w:rPr>
  </w:style>
  <w:style w:type="character" w:customStyle="1" w:styleId="22">
    <w:name w:val="fontstyle21"/>
    <w:basedOn w:val="10"/>
    <w:qFormat/>
    <w:uiPriority w:val="0"/>
    <w:rPr>
      <w:rFonts w:hint="default" w:ascii="TimesNewRomanPSMT" w:hAnsi="TimesNewRomanPSMT"/>
      <w:color w:val="000000"/>
      <w:sz w:val="24"/>
      <w:szCs w:val="24"/>
    </w:rPr>
  </w:style>
  <w:style w:type="character" w:customStyle="1" w:styleId="23">
    <w:name w:val="fontstyle11"/>
    <w:basedOn w:val="10"/>
    <w:qFormat/>
    <w:uiPriority w:val="0"/>
    <w:rPr>
      <w:rFonts w:hint="default" w:ascii="TimesNewRomanPSMT" w:hAnsi="TimesNewRomanPSMT"/>
      <w:color w:val="000000"/>
      <w:sz w:val="24"/>
      <w:szCs w:val="24"/>
    </w:rPr>
  </w:style>
  <w:style w:type="paragraph" w:customStyle="1" w:styleId="24">
    <w:name w:val="Default"/>
    <w:qFormat/>
    <w:uiPriority w:val="0"/>
    <w:pPr>
      <w:widowControl w:val="0"/>
      <w:autoSpaceDE w:val="0"/>
      <w:autoSpaceDN w:val="0"/>
      <w:adjustRightInd w:val="0"/>
    </w:pPr>
    <w:rPr>
      <w:rFonts w:ascii="仿宋_GB2312" w:hAnsi="仿宋_GB2312" w:cs="仿宋_GB2312"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3</Pages>
  <Words>879</Words>
  <Characters>954</Characters>
  <Lines>5</Lines>
  <Paragraphs>1</Paragraphs>
  <TotalTime>64</TotalTime>
  <ScaleCrop>false</ScaleCrop>
  <LinksUpToDate>false</LinksUpToDate>
  <CharactersWithSpaces>1024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2018-09-17T09:08:00Z</dcterms:created>
  <dc:creator>郑洁</dc:creator>
  <cp:lastModifiedBy>Administrator</cp:lastModifiedBy>
  <cp:lastPrinted>2025-09-03T03:27:59Z</cp:lastPrinted>
  <dcterms:modified xsi:type="dcterms:W3CDTF">2025-09-03T06:37:53Z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3CF76A722B4649B093932D4C0D6DC5C2_13</vt:lpwstr>
  </property>
  <property fmtid="{D5CDD505-2E9C-101B-9397-08002B2CF9AE}" pid="4" name="KSOTemplateDocerSaveRecord">
    <vt:lpwstr>eyJoZGlkIjoiOGNkNzkwNDFhNTBhZTU1MmEyN2FmYTE5MDNiYjJlYTcifQ==</vt:lpwstr>
  </property>
</Properties>
</file>