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6520C2">
      <w:pPr>
        <w:jc w:val="center"/>
        <w:rPr>
          <w:rFonts w:hint="eastAsia" w:ascii="方正小标宋简体" w:eastAsia="方正小标宋简体"/>
          <w:sz w:val="44"/>
          <w:szCs w:val="44"/>
        </w:rPr>
      </w:pPr>
    </w:p>
    <w:p w14:paraId="1ADB32DB">
      <w:pPr>
        <w:jc w:val="both"/>
        <w:rPr>
          <w:rFonts w:hint="eastAsia" w:ascii="方正小标宋简体" w:eastAsia="方正小标宋简体"/>
          <w:sz w:val="44"/>
          <w:szCs w:val="44"/>
        </w:rPr>
      </w:pPr>
    </w:p>
    <w:p w14:paraId="3578D446">
      <w:pPr>
        <w:spacing w:line="400" w:lineRule="exact"/>
        <w:jc w:val="center"/>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津保审环</w:t>
      </w:r>
      <w:r>
        <w:rPr>
          <w:rFonts w:hint="eastAsia" w:ascii="仿宋_GB2312" w:hAnsi="仿宋_GB2312" w:eastAsia="仿宋_GB2312" w:cs="仿宋_GB2312"/>
          <w:sz w:val="32"/>
          <w:szCs w:val="32"/>
        </w:rPr>
        <w:t>准〔20</w:t>
      </w:r>
      <w:r>
        <w:rPr>
          <w:rFonts w:hint="eastAsia" w:ascii="仿宋_GB2312" w:hAnsi="仿宋_GB2312" w:eastAsia="仿宋_GB2312" w:cs="仿宋_GB2312"/>
          <w:sz w:val="32"/>
          <w:szCs w:val="32"/>
          <w:lang w:val="en-US" w:eastAsia="zh-CN"/>
        </w:rPr>
        <w:t>25</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3</w:t>
      </w:r>
      <w:r>
        <w:rPr>
          <w:rFonts w:hint="eastAsia" w:ascii="Times New Roman" w:hAnsi="Times New Roman" w:eastAsia="仿宋_GB2312" w:cs="Times New Roman"/>
          <w:sz w:val="32"/>
          <w:szCs w:val="32"/>
        </w:rPr>
        <w:t>号</w:t>
      </w:r>
    </w:p>
    <w:p w14:paraId="5CC3D40D">
      <w:pPr>
        <w:spacing w:line="400" w:lineRule="exact"/>
        <w:jc w:val="center"/>
        <w:rPr>
          <w:rFonts w:hint="eastAsia" w:ascii="Times New Roman" w:hAnsi="Times New Roman" w:eastAsia="仿宋_GB2312" w:cs="Times New Roman"/>
          <w:sz w:val="32"/>
          <w:szCs w:val="32"/>
        </w:rPr>
      </w:pPr>
    </w:p>
    <w:p w14:paraId="6F1BE490">
      <w:pPr>
        <w:spacing w:line="600" w:lineRule="exact"/>
        <w:jc w:val="center"/>
        <w:rPr>
          <w:rFonts w:hint="eastAsia" w:ascii="方正小标宋简体" w:hAnsi="Calibri" w:eastAsia="方正小标宋简体" w:cs="Times New Roman"/>
          <w:sz w:val="44"/>
          <w:szCs w:val="28"/>
          <w:lang w:val="en-US" w:eastAsia="zh-CN"/>
        </w:rPr>
      </w:pPr>
      <w:r>
        <w:rPr>
          <w:rFonts w:hint="eastAsia" w:ascii="方正小标宋简体" w:hAnsi="Calibri" w:eastAsia="方正小标宋简体" w:cs="Times New Roman"/>
          <w:sz w:val="44"/>
          <w:szCs w:val="28"/>
          <w:lang w:val="en-US" w:eastAsia="zh-CN"/>
        </w:rPr>
        <w:t>关于天津港大沽口港区粮油区6、7号通用泊位后方北堆场工程填海工程环境影响</w:t>
      </w:r>
    </w:p>
    <w:p w14:paraId="1A6A3414">
      <w:pPr>
        <w:spacing w:line="600" w:lineRule="exact"/>
        <w:jc w:val="center"/>
        <w:rPr>
          <w:rFonts w:hint="eastAsia" w:ascii="方正小标宋简体" w:hAnsi="Calibri" w:eastAsia="方正小标宋简体" w:cs="Times New Roman"/>
          <w:sz w:val="44"/>
          <w:szCs w:val="28"/>
          <w:lang w:val="en-US" w:eastAsia="zh-CN"/>
        </w:rPr>
      </w:pPr>
      <w:r>
        <w:rPr>
          <w:rFonts w:hint="eastAsia" w:ascii="方正小标宋简体" w:hAnsi="Calibri" w:eastAsia="方正小标宋简体" w:cs="Times New Roman"/>
          <w:sz w:val="44"/>
          <w:szCs w:val="28"/>
          <w:lang w:val="en-US" w:eastAsia="zh-CN"/>
        </w:rPr>
        <w:t>报告书的批复</w:t>
      </w:r>
    </w:p>
    <w:p w14:paraId="4FFDF14E">
      <w:pPr>
        <w:pStyle w:val="2"/>
        <w:rPr>
          <w:rFonts w:hint="eastAsia"/>
          <w:lang w:val="en-US" w:eastAsia="zh-CN"/>
        </w:rPr>
      </w:pPr>
    </w:p>
    <w:p w14:paraId="5AE2E768">
      <w:pPr>
        <w:keepNext w:val="0"/>
        <w:keepLines w:val="0"/>
        <w:pageBreakBefore w:val="0"/>
        <w:widowControl w:val="0"/>
        <w:kinsoku/>
        <w:wordWrap/>
        <w:overflowPunct/>
        <w:topLinePunct w:val="0"/>
        <w:bidi w:val="0"/>
        <w:spacing w:line="540" w:lineRule="exact"/>
        <w:jc w:val="left"/>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天津</w:t>
      </w:r>
      <w:r>
        <w:rPr>
          <w:rFonts w:hint="eastAsia" w:ascii="仿宋_GB2312" w:hAnsi="仿宋_GB2312" w:eastAsia="仿宋_GB2312" w:cs="仿宋_GB2312"/>
          <w:sz w:val="32"/>
          <w:szCs w:val="32"/>
          <w:lang w:val="en-US" w:eastAsia="zh-CN"/>
        </w:rPr>
        <w:t>临港港务</w:t>
      </w:r>
      <w:r>
        <w:rPr>
          <w:rFonts w:hint="default" w:ascii="仿宋_GB2312" w:hAnsi="仿宋_GB2312" w:eastAsia="仿宋_GB2312" w:cs="仿宋_GB2312"/>
          <w:sz w:val="32"/>
          <w:szCs w:val="32"/>
          <w:lang w:val="en-US" w:eastAsia="zh-CN"/>
        </w:rPr>
        <w:t>集团有限公司</w:t>
      </w:r>
      <w:r>
        <w:rPr>
          <w:rFonts w:hint="eastAsia" w:ascii="仿宋_GB2312" w:hAnsi="仿宋_GB2312" w:eastAsia="仿宋_GB2312" w:cs="仿宋_GB2312"/>
          <w:sz w:val="32"/>
          <w:szCs w:val="32"/>
          <w:lang w:val="en-US" w:eastAsia="zh-CN"/>
        </w:rPr>
        <w:t>：</w:t>
      </w:r>
    </w:p>
    <w:p w14:paraId="35F0F891">
      <w:pPr>
        <w:keepNext w:val="0"/>
        <w:keepLines w:val="0"/>
        <w:pageBreakBefore w:val="0"/>
        <w:widowControl w:val="0"/>
        <w:kinsoku/>
        <w:wordWrap/>
        <w:overflowPunct/>
        <w:topLinePunct w:val="0"/>
        <w:bidi w:val="0"/>
        <w:spacing w:line="54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你单位所报《天津港大沽口港区粮油区6、7号通用泊位后方北堆场工程填海工程环境影响报告书》（以下简称报告书）等材料收悉，经研究，批复如下：</w:t>
      </w:r>
    </w:p>
    <w:p w14:paraId="0581F75A">
      <w:pPr>
        <w:keepNext w:val="0"/>
        <w:keepLines w:val="0"/>
        <w:pageBreakBefore w:val="0"/>
        <w:widowControl w:val="0"/>
        <w:kinsoku/>
        <w:wordWrap/>
        <w:overflowPunct/>
        <w:topLinePunct w:val="0"/>
        <w:bidi w:val="0"/>
        <w:spacing w:line="54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一、该工程位于天津港保税区临港区域海域，用海面积22.4334公顷</w:t>
      </w:r>
      <w:r>
        <w:rPr>
          <w:rFonts w:hint="eastAsia" w:ascii="仿宋_GB2312" w:eastAsia="仿宋_GB2312"/>
          <w:sz w:val="32"/>
          <w:szCs w:val="32"/>
        </w:rPr>
        <w:t>（所在图斑属于围填海历史遗留问题区域）</w:t>
      </w:r>
      <w:r>
        <w:rPr>
          <w:rFonts w:hint="eastAsia" w:ascii="仿宋_GB2312" w:hAnsi="仿宋_GB2312" w:eastAsia="仿宋_GB2312" w:cs="仿宋_GB2312"/>
          <w:sz w:val="32"/>
          <w:szCs w:val="32"/>
          <w:lang w:val="en-US" w:eastAsia="zh-CN"/>
        </w:rPr>
        <w:t>。主要建设内容为天津港大沽口港区粮油区6、7号通用泊位后方北堆场工程的围填成陆，位于天津港保税区临港区域天津港大沽口港区粮油区6、7号通用泊位南侧。不包括成陆后天津港大沽口港区粮油区6、7号通用泊位后方北堆场工程建设内容。</w:t>
      </w:r>
    </w:p>
    <w:p w14:paraId="410C9B9B">
      <w:pPr>
        <w:keepNext w:val="0"/>
        <w:keepLines w:val="0"/>
        <w:pageBreakBefore w:val="0"/>
        <w:widowControl w:val="0"/>
        <w:kinsoku/>
        <w:wordWrap/>
        <w:overflowPunct/>
        <w:topLinePunct w:val="0"/>
        <w:bidi w:val="0"/>
        <w:spacing w:line="54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根据该工程完成的报告书结论及《天津港大沽口港区粮油区6、7号通用泊位后方北堆场工程填海工程环境影响报告书的技术评估报告》（保税评估书〔2024〕001号），在该工程全面落实报告书提出的各项生态环境保护措施后，该工程可以满足国家海洋生态环境保护相关法律法规和标准的要求。我局原则同意批准该环境影响报告书。</w:t>
      </w:r>
    </w:p>
    <w:p w14:paraId="1B679D72">
      <w:pPr>
        <w:keepNext w:val="0"/>
        <w:keepLines w:val="0"/>
        <w:pageBreakBefore w:val="0"/>
        <w:widowControl w:val="0"/>
        <w:kinsoku/>
        <w:wordWrap/>
        <w:overflowPunct/>
        <w:topLinePunct w:val="0"/>
        <w:bidi w:val="0"/>
        <w:spacing w:line="54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该工程运营期间，应加强海洋环境保护与生态修复，与天津港保税区围填海项目生态环境保护修复整体工作统筹考虑、统一实施。严格落实报告书提出的海洋生物资源修复、海洋生态环境跟踪监测等生态环境保护措施，切实保障渔业资源经济损失生态</w:t>
      </w:r>
      <w:bookmarkStart w:id="0" w:name="_Hlk41523797"/>
      <w:r>
        <w:rPr>
          <w:rFonts w:hint="eastAsia" w:ascii="仿宋_GB2312" w:hAnsi="仿宋_GB2312" w:eastAsia="仿宋_GB2312" w:cs="仿宋_GB2312"/>
          <w:sz w:val="32"/>
          <w:szCs w:val="32"/>
          <w:lang w:val="en-US" w:eastAsia="zh-CN"/>
        </w:rPr>
        <w:t>补偿</w:t>
      </w:r>
      <w:bookmarkEnd w:id="0"/>
      <w:r>
        <w:rPr>
          <w:rFonts w:hint="eastAsia" w:ascii="仿宋_GB2312" w:hAnsi="仿宋_GB2312" w:eastAsia="仿宋_GB2312" w:cs="仿宋_GB2312"/>
          <w:sz w:val="32"/>
          <w:szCs w:val="32"/>
          <w:lang w:val="en-US" w:eastAsia="zh-CN"/>
        </w:rPr>
        <w:t>资金落实到位。</w:t>
      </w:r>
    </w:p>
    <w:p w14:paraId="7DC1DEC3">
      <w:pPr>
        <w:keepNext w:val="0"/>
        <w:keepLines w:val="0"/>
        <w:pageBreakBefore w:val="0"/>
        <w:widowControl w:val="0"/>
        <w:kinsoku/>
        <w:wordWrap/>
        <w:overflowPunct/>
        <w:topLinePunct w:val="0"/>
        <w:bidi w:val="0"/>
        <w:spacing w:line="54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四、你单位应按照渔业主管部门的要求，依法开展该工程对辽东湾渤海湾莱州湾国家级水产种质资源保护区的影响专题论证工作，并按规定程序报有审批权限部门进行审批，按要求组织落实补偿措施。</w:t>
      </w:r>
    </w:p>
    <w:p w14:paraId="0161C569">
      <w:pPr>
        <w:keepNext w:val="0"/>
        <w:keepLines w:val="0"/>
        <w:pageBreakBefore w:val="0"/>
        <w:widowControl w:val="0"/>
        <w:kinsoku/>
        <w:wordWrap/>
        <w:overflowPunct/>
        <w:topLinePunct w:val="0"/>
        <w:bidi w:val="0"/>
        <w:spacing w:line="54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此复</w:t>
      </w:r>
    </w:p>
    <w:p w14:paraId="13A60636">
      <w:pPr>
        <w:keepNext w:val="0"/>
        <w:keepLines w:val="0"/>
        <w:pageBreakBefore w:val="0"/>
        <w:widowControl w:val="0"/>
        <w:kinsoku/>
        <w:wordWrap/>
        <w:overflowPunct/>
        <w:topLinePunct w:val="0"/>
        <w:bidi w:val="0"/>
        <w:spacing w:line="540" w:lineRule="exact"/>
        <w:ind w:firstLine="640" w:firstLineChars="200"/>
        <w:jc w:val="left"/>
        <w:textAlignment w:val="auto"/>
        <w:rPr>
          <w:rFonts w:hint="eastAsia" w:ascii="仿宋_GB2312" w:hAnsi="仿宋_GB2312" w:eastAsia="仿宋_GB2312" w:cs="仿宋_GB2312"/>
          <w:sz w:val="32"/>
          <w:szCs w:val="32"/>
          <w:lang w:val="en-US" w:eastAsia="zh-CN"/>
        </w:rPr>
      </w:pPr>
    </w:p>
    <w:p w14:paraId="3440D656">
      <w:pPr>
        <w:keepNext w:val="0"/>
        <w:keepLines w:val="0"/>
        <w:pageBreakBefore w:val="0"/>
        <w:widowControl w:val="0"/>
        <w:kinsoku/>
        <w:wordWrap/>
        <w:overflowPunct/>
        <w:topLinePunct w:val="0"/>
        <w:bidi w:val="0"/>
        <w:spacing w:line="540" w:lineRule="exact"/>
        <w:ind w:firstLine="640" w:firstLineChars="200"/>
        <w:jc w:val="left"/>
        <w:textAlignment w:val="auto"/>
        <w:rPr>
          <w:rFonts w:hint="eastAsia" w:ascii="仿宋_GB2312" w:hAnsi="仿宋_GB2312" w:eastAsia="仿宋_GB2312" w:cs="仿宋_GB2312"/>
          <w:sz w:val="32"/>
          <w:szCs w:val="32"/>
          <w:lang w:val="en-US" w:eastAsia="zh-CN"/>
        </w:rPr>
      </w:pPr>
    </w:p>
    <w:p w14:paraId="27A70971">
      <w:pPr>
        <w:keepNext w:val="0"/>
        <w:keepLines w:val="0"/>
        <w:pageBreakBefore w:val="0"/>
        <w:widowControl w:val="0"/>
        <w:tabs>
          <w:tab w:val="left" w:pos="434"/>
        </w:tabs>
        <w:kinsoku/>
        <w:wordWrap/>
        <w:overflowPunct/>
        <w:topLinePunct w:val="0"/>
        <w:bidi w:val="0"/>
        <w:spacing w:line="540" w:lineRule="exact"/>
        <w:ind w:firstLine="640" w:firstLineChars="200"/>
        <w:jc w:val="right"/>
        <w:textAlignment w:val="auto"/>
        <w:rPr>
          <w:rFonts w:ascii="仿宋_GB2312" w:eastAsia="仿宋_GB2312" w:cs="Tahoma"/>
          <w:kern w:val="0"/>
          <w:sz w:val="32"/>
          <w:szCs w:val="32"/>
        </w:rPr>
      </w:pPr>
      <w:r>
        <w:rPr>
          <w:rFonts w:hint="eastAsia" w:ascii="仿宋_GB2312" w:hAnsi="仿宋_GB2312" w:eastAsia="仿宋_GB2312" w:cs="仿宋_GB2312"/>
          <w:sz w:val="32"/>
          <w:szCs w:val="32"/>
          <w:lang w:val="en-US" w:eastAsia="zh-CN"/>
        </w:rPr>
        <w:tab/>
      </w:r>
      <w:r>
        <w:rPr>
          <w:rFonts w:hint="eastAsia" w:ascii="仿宋_GB2312" w:hAnsi="仿宋_GB2312" w:eastAsia="仿宋_GB2312" w:cs="仿宋_GB2312"/>
          <w:sz w:val="32"/>
          <w:szCs w:val="32"/>
          <w:lang w:val="en-US" w:eastAsia="zh-CN"/>
        </w:rPr>
        <w:t>2025年2月13日</w:t>
      </w:r>
    </w:p>
    <w:p w14:paraId="74237A95">
      <w:pPr>
        <w:rPr>
          <w:rFonts w:ascii="仿宋_GB2312" w:hAnsi="Times New Roman" w:eastAsia="仿宋_GB2312" w:cs="Tahoma"/>
          <w:color w:val="FF0000"/>
          <w:kern w:val="0"/>
          <w:sz w:val="32"/>
          <w:szCs w:val="32"/>
        </w:rPr>
      </w:pPr>
    </w:p>
    <w:p w14:paraId="406AF1D5">
      <w:pPr>
        <w:pStyle w:val="2"/>
        <w:rPr>
          <w:rFonts w:ascii="仿宋_GB2312" w:hAnsi="Times New Roman" w:eastAsia="仿宋_GB2312" w:cs="Tahoma"/>
          <w:color w:val="FF0000"/>
          <w:kern w:val="0"/>
          <w:sz w:val="32"/>
          <w:szCs w:val="32"/>
        </w:rPr>
      </w:pPr>
    </w:p>
    <w:p w14:paraId="1DB8A4F2">
      <w:pPr>
        <w:pStyle w:val="2"/>
      </w:pPr>
    </w:p>
    <w:p w14:paraId="5BACCF5B"/>
    <w:p w14:paraId="4F9154EF">
      <w:pPr>
        <w:pStyle w:val="2"/>
      </w:pPr>
    </w:p>
    <w:p w14:paraId="6B23C5B4"/>
    <w:p w14:paraId="21128624">
      <w:pPr>
        <w:keepNext w:val="0"/>
        <w:keepLines w:val="0"/>
        <w:pageBreakBefore w:val="0"/>
        <w:widowControl w:val="0"/>
        <w:kinsoku/>
        <w:wordWrap/>
        <w:overflowPunct/>
        <w:topLinePunct w:val="0"/>
        <w:bidi w:val="0"/>
        <w:spacing w:line="540" w:lineRule="exact"/>
        <w:jc w:val="left"/>
        <w:textAlignment w:val="auto"/>
        <w:rPr>
          <w:rFonts w:hint="eastAsia" w:ascii="仿宋_GB2312" w:hAnsi="仿宋_GB2312" w:eastAsia="仿宋_GB2312" w:cs="仿宋_GB2312"/>
          <w:b w:val="0"/>
          <w:bCs w:val="0"/>
          <w:sz w:val="32"/>
          <w:szCs w:val="32"/>
          <w:u w:val="single"/>
          <w:lang w:val="en-US" w:eastAsia="zh-CN"/>
        </w:rPr>
      </w:pPr>
      <w:r>
        <w:rPr>
          <w:rFonts w:hint="eastAsia" w:ascii="仿宋_GB2312" w:hAnsi="仿宋_GB2312" w:eastAsia="仿宋_GB2312" w:cs="仿宋_GB2312"/>
          <w:b w:val="0"/>
          <w:bCs w:val="0"/>
          <w:sz w:val="32"/>
          <w:szCs w:val="32"/>
          <w:u w:val="single"/>
          <w:lang w:val="en-US" w:eastAsia="zh-CN"/>
        </w:rPr>
        <w:t xml:space="preserve">抄送：城市环境管理局、辽宁飞思海洋科技有限公司                                                     </w:t>
      </w:r>
    </w:p>
    <w:p w14:paraId="7E42A784">
      <w:pPr>
        <w:keepNext w:val="0"/>
        <w:keepLines w:val="0"/>
        <w:pageBreakBefore w:val="0"/>
        <w:widowControl w:val="0"/>
        <w:kinsoku/>
        <w:wordWrap/>
        <w:overflowPunct/>
        <w:topLinePunct w:val="0"/>
        <w:bidi w:val="0"/>
        <w:spacing w:line="540" w:lineRule="exact"/>
        <w:jc w:val="left"/>
        <w:textAlignment w:val="auto"/>
        <w:rPr>
          <w:rFonts w:hint="eastAsia" w:ascii="仿宋_GB2312" w:hAnsi="仿宋_GB2312" w:eastAsia="仿宋_GB2312" w:cs="仿宋_GB2312"/>
          <w:sz w:val="32"/>
          <w:szCs w:val="32"/>
          <w:u w:val="single"/>
          <w:lang w:val="en-US" w:eastAsia="zh-CN"/>
        </w:rPr>
      </w:pPr>
      <w:r>
        <w:rPr>
          <w:rFonts w:hint="eastAsia" w:ascii="仿宋_GB2312" w:hAnsi="仿宋_GB2312" w:eastAsia="仿宋_GB2312" w:cs="仿宋_GB2312"/>
          <w:sz w:val="32"/>
          <w:szCs w:val="32"/>
          <w:u w:val="single"/>
          <w:lang w:val="en-US" w:eastAsia="zh-CN"/>
        </w:rPr>
        <w:t>天津港保税区行政审批局               2025年2月13</w:t>
      </w:r>
      <w:bookmarkStart w:id="1" w:name="_GoBack"/>
      <w:bookmarkEnd w:id="1"/>
      <w:r>
        <w:rPr>
          <w:rFonts w:hint="eastAsia" w:ascii="仿宋_GB2312" w:hAnsi="仿宋_GB2312" w:eastAsia="仿宋_GB2312" w:cs="仿宋_GB2312"/>
          <w:sz w:val="32"/>
          <w:szCs w:val="32"/>
          <w:u w:val="single"/>
          <w:lang w:val="en-US" w:eastAsia="zh-CN"/>
        </w:rPr>
        <w:t>日印</w:t>
      </w:r>
    </w:p>
    <w:sectPr>
      <w:footerReference r:id="rId3" w:type="default"/>
      <w:footerReference r:id="rId4" w:type="even"/>
      <w:pgSz w:w="11906" w:h="16838"/>
      <w:pgMar w:top="1985" w:right="1474" w:bottom="1985" w:left="1588" w:header="851" w:footer="992" w:gutter="0"/>
      <w:pgNumType w:fmt="numberInDash"/>
      <w:cols w:space="720" w:num="1"/>
      <w:docGrid w:type="lines" w:linePitch="489" w:charSpace="2167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文星仿宋">
    <w:altName w:val="宋体"/>
    <w:panose1 w:val="00000000000000000000"/>
    <w:charset w:val="86"/>
    <w:family w:val="auto"/>
    <w:pitch w:val="default"/>
    <w:sig w:usb0="00000000" w:usb1="00000000" w:usb2="00000010" w:usb3="00000000" w:csb0="00040001" w:csb1="00000000"/>
  </w:font>
  <w:font w:name="Cambria Math">
    <w:panose1 w:val="02040503050406030204"/>
    <w:charset w:val="01"/>
    <w:family w:val="roman"/>
    <w:pitch w:val="default"/>
    <w:sig w:usb0="E00006FF" w:usb1="420024FF" w:usb2="02000000" w:usb3="00000000" w:csb0="2000019F" w:csb1="00000000"/>
  </w:font>
  <w:font w:name="TimesNewRomanPSMT">
    <w:altName w:val="Times New Roman"/>
    <w:panose1 w:val="00000000000000000000"/>
    <w:charset w:val="00"/>
    <w:family w:val="roman"/>
    <w:pitch w:val="default"/>
    <w:sig w:usb0="00000000" w:usb1="00000000" w:usb2="00000000" w:usb3="00000000" w:csb0="00000001"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7983A2">
    <w:pPr>
      <w:pStyle w:val="6"/>
      <w:tabs>
        <w:tab w:val="center" w:pos="4422"/>
        <w:tab w:val="right" w:pos="8844"/>
      </w:tabs>
      <w:jc w:val="right"/>
      <w:rPr>
        <w:sz w:val="28"/>
      </w:rPr>
    </w:pPr>
    <w:r>
      <w:rPr>
        <w:rStyle w:val="12"/>
        <w:sz w:val="28"/>
      </w:rPr>
      <w:tab/>
    </w:r>
    <w:r>
      <w:rPr>
        <w:rStyle w:val="12"/>
        <w:sz w:val="28"/>
      </w:rPr>
      <w:tab/>
    </w:r>
    <w:r>
      <w:rPr>
        <w:rStyle w:val="12"/>
        <w:sz w:val="28"/>
      </w:rPr>
      <w:fldChar w:fldCharType="begin"/>
    </w:r>
    <w:r>
      <w:rPr>
        <w:rStyle w:val="12"/>
        <w:sz w:val="28"/>
      </w:rPr>
      <w:instrText xml:space="preserve">PAGE  </w:instrText>
    </w:r>
    <w:r>
      <w:rPr>
        <w:rStyle w:val="12"/>
        <w:sz w:val="28"/>
      </w:rPr>
      <w:fldChar w:fldCharType="separate"/>
    </w:r>
    <w:r>
      <w:rPr>
        <w:rStyle w:val="12"/>
        <w:sz w:val="28"/>
      </w:rPr>
      <w:t>- 1 -</w:t>
    </w:r>
    <w:r>
      <w:rPr>
        <w:rStyle w:val="12"/>
        <w:sz w:val="28"/>
      </w:rPr>
      <w:fldChar w:fldCharType="end"/>
    </w:r>
    <w:r>
      <w:rPr>
        <w:rStyle w:val="12"/>
        <w:sz w:val="28"/>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458F4F">
    <w:pPr>
      <w:pStyle w:val="6"/>
      <w:jc w:val="right"/>
      <w:rPr>
        <w:sz w:val="28"/>
      </w:rPr>
    </w:pPr>
    <w:r>
      <w:rPr>
        <w:rStyle w:val="12"/>
        <w:sz w:val="28"/>
      </w:rPr>
      <w:fldChar w:fldCharType="begin"/>
    </w:r>
    <w:r>
      <w:rPr>
        <w:rStyle w:val="12"/>
        <w:sz w:val="28"/>
      </w:rPr>
      <w:instrText xml:space="preserve">PAGE  </w:instrText>
    </w:r>
    <w:r>
      <w:rPr>
        <w:rStyle w:val="12"/>
        <w:sz w:val="28"/>
      </w:rPr>
      <w:fldChar w:fldCharType="separate"/>
    </w:r>
    <w:r>
      <w:rPr>
        <w:rStyle w:val="12"/>
        <w:sz w:val="28"/>
      </w:rPr>
      <w:t>- 4 -</w:t>
    </w:r>
    <w:r>
      <w:rPr>
        <w:rStyle w:val="12"/>
        <w:sz w:val="28"/>
      </w:rPr>
      <w:fldChar w:fldCharType="end"/>
    </w:r>
    <w:r>
      <w:rPr>
        <w:rStyle w:val="12"/>
        <w:sz w:val="28"/>
      </w:rPr>
      <w:t xml:space="preserve"> </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Y0ZmYwNjIwNmJhYzlkY2Q5ZTU5OWRmMjc5ZmI3ZDIifQ=="/>
  </w:docVars>
  <w:rsids>
    <w:rsidRoot w:val="005A5676"/>
    <w:rsid w:val="00010BF8"/>
    <w:rsid w:val="00021DBF"/>
    <w:rsid w:val="00021E6E"/>
    <w:rsid w:val="0003070A"/>
    <w:rsid w:val="00032477"/>
    <w:rsid w:val="00050C01"/>
    <w:rsid w:val="000530DD"/>
    <w:rsid w:val="000551E0"/>
    <w:rsid w:val="000573D8"/>
    <w:rsid w:val="00070793"/>
    <w:rsid w:val="0007137A"/>
    <w:rsid w:val="00072A3A"/>
    <w:rsid w:val="00085207"/>
    <w:rsid w:val="000858F7"/>
    <w:rsid w:val="00086435"/>
    <w:rsid w:val="00092C9F"/>
    <w:rsid w:val="000A27CB"/>
    <w:rsid w:val="000B6761"/>
    <w:rsid w:val="000B71D5"/>
    <w:rsid w:val="000C7EC3"/>
    <w:rsid w:val="000D203D"/>
    <w:rsid w:val="000F2C54"/>
    <w:rsid w:val="000F3B88"/>
    <w:rsid w:val="001052A6"/>
    <w:rsid w:val="00117536"/>
    <w:rsid w:val="00131241"/>
    <w:rsid w:val="00145701"/>
    <w:rsid w:val="0014785A"/>
    <w:rsid w:val="00147F28"/>
    <w:rsid w:val="00156D5B"/>
    <w:rsid w:val="001659DD"/>
    <w:rsid w:val="00174126"/>
    <w:rsid w:val="00176879"/>
    <w:rsid w:val="00182EF4"/>
    <w:rsid w:val="001B0077"/>
    <w:rsid w:val="001B332B"/>
    <w:rsid w:val="001B38E7"/>
    <w:rsid w:val="001D4971"/>
    <w:rsid w:val="001F1BFF"/>
    <w:rsid w:val="001F2F9F"/>
    <w:rsid w:val="002166F0"/>
    <w:rsid w:val="00217385"/>
    <w:rsid w:val="002436B8"/>
    <w:rsid w:val="002621B3"/>
    <w:rsid w:val="0027634F"/>
    <w:rsid w:val="00280BB6"/>
    <w:rsid w:val="00280E07"/>
    <w:rsid w:val="00284679"/>
    <w:rsid w:val="00285A29"/>
    <w:rsid w:val="00287956"/>
    <w:rsid w:val="00290A74"/>
    <w:rsid w:val="002A1FAC"/>
    <w:rsid w:val="002C16D3"/>
    <w:rsid w:val="002C2B67"/>
    <w:rsid w:val="002C5E31"/>
    <w:rsid w:val="002C75CE"/>
    <w:rsid w:val="002D1745"/>
    <w:rsid w:val="002D7060"/>
    <w:rsid w:val="002D7D8A"/>
    <w:rsid w:val="002E7E93"/>
    <w:rsid w:val="002F10A4"/>
    <w:rsid w:val="002F2E19"/>
    <w:rsid w:val="0030399D"/>
    <w:rsid w:val="003103E5"/>
    <w:rsid w:val="0032361A"/>
    <w:rsid w:val="00330BF8"/>
    <w:rsid w:val="00331151"/>
    <w:rsid w:val="00333E00"/>
    <w:rsid w:val="003464C1"/>
    <w:rsid w:val="003464FE"/>
    <w:rsid w:val="003640D1"/>
    <w:rsid w:val="00375E4F"/>
    <w:rsid w:val="00382788"/>
    <w:rsid w:val="00384CA0"/>
    <w:rsid w:val="00385B19"/>
    <w:rsid w:val="00394D4F"/>
    <w:rsid w:val="00396B54"/>
    <w:rsid w:val="003C2417"/>
    <w:rsid w:val="003C7352"/>
    <w:rsid w:val="003F604F"/>
    <w:rsid w:val="00402EE3"/>
    <w:rsid w:val="00414F13"/>
    <w:rsid w:val="00422482"/>
    <w:rsid w:val="0042759F"/>
    <w:rsid w:val="0043484B"/>
    <w:rsid w:val="00437C95"/>
    <w:rsid w:val="00437FAA"/>
    <w:rsid w:val="00460778"/>
    <w:rsid w:val="004617AB"/>
    <w:rsid w:val="00465AA4"/>
    <w:rsid w:val="00475044"/>
    <w:rsid w:val="0048002A"/>
    <w:rsid w:val="00483BE6"/>
    <w:rsid w:val="004910B1"/>
    <w:rsid w:val="00494CE1"/>
    <w:rsid w:val="004A1C58"/>
    <w:rsid w:val="004A37D0"/>
    <w:rsid w:val="004A4C11"/>
    <w:rsid w:val="004B1C94"/>
    <w:rsid w:val="004B660C"/>
    <w:rsid w:val="004D32E8"/>
    <w:rsid w:val="004D3471"/>
    <w:rsid w:val="004E17AE"/>
    <w:rsid w:val="004E2A88"/>
    <w:rsid w:val="004F16FE"/>
    <w:rsid w:val="00505C4A"/>
    <w:rsid w:val="00515133"/>
    <w:rsid w:val="0053765B"/>
    <w:rsid w:val="005400E2"/>
    <w:rsid w:val="0054382E"/>
    <w:rsid w:val="00545185"/>
    <w:rsid w:val="00550162"/>
    <w:rsid w:val="005504C0"/>
    <w:rsid w:val="0055143C"/>
    <w:rsid w:val="0056118B"/>
    <w:rsid w:val="005643B5"/>
    <w:rsid w:val="00572077"/>
    <w:rsid w:val="00575156"/>
    <w:rsid w:val="005946F4"/>
    <w:rsid w:val="00595D04"/>
    <w:rsid w:val="005969DF"/>
    <w:rsid w:val="00597E71"/>
    <w:rsid w:val="005A5676"/>
    <w:rsid w:val="005A7721"/>
    <w:rsid w:val="005C622E"/>
    <w:rsid w:val="005C650D"/>
    <w:rsid w:val="005D0949"/>
    <w:rsid w:val="005E5AED"/>
    <w:rsid w:val="00604AE8"/>
    <w:rsid w:val="00614AA1"/>
    <w:rsid w:val="00620FD9"/>
    <w:rsid w:val="00634E4F"/>
    <w:rsid w:val="00635556"/>
    <w:rsid w:val="00637E96"/>
    <w:rsid w:val="00647065"/>
    <w:rsid w:val="00651352"/>
    <w:rsid w:val="00692306"/>
    <w:rsid w:val="00695E33"/>
    <w:rsid w:val="006A163C"/>
    <w:rsid w:val="006C3C5C"/>
    <w:rsid w:val="006C3C78"/>
    <w:rsid w:val="006C6203"/>
    <w:rsid w:val="006D0314"/>
    <w:rsid w:val="006D27C6"/>
    <w:rsid w:val="007008CF"/>
    <w:rsid w:val="007011D9"/>
    <w:rsid w:val="007114CC"/>
    <w:rsid w:val="00713F18"/>
    <w:rsid w:val="0072035C"/>
    <w:rsid w:val="00737186"/>
    <w:rsid w:val="007372BD"/>
    <w:rsid w:val="0073747B"/>
    <w:rsid w:val="007408BE"/>
    <w:rsid w:val="007537C1"/>
    <w:rsid w:val="007620E7"/>
    <w:rsid w:val="00765538"/>
    <w:rsid w:val="007736EF"/>
    <w:rsid w:val="00776944"/>
    <w:rsid w:val="007C3D0D"/>
    <w:rsid w:val="007C6CE0"/>
    <w:rsid w:val="007D641D"/>
    <w:rsid w:val="007E23DC"/>
    <w:rsid w:val="007F59E0"/>
    <w:rsid w:val="007F7E3D"/>
    <w:rsid w:val="008141A5"/>
    <w:rsid w:val="00821D26"/>
    <w:rsid w:val="00834DCB"/>
    <w:rsid w:val="00837EB6"/>
    <w:rsid w:val="008422E0"/>
    <w:rsid w:val="00845AD3"/>
    <w:rsid w:val="008514C5"/>
    <w:rsid w:val="00857B53"/>
    <w:rsid w:val="00860486"/>
    <w:rsid w:val="0086482D"/>
    <w:rsid w:val="0086525C"/>
    <w:rsid w:val="00867A6F"/>
    <w:rsid w:val="00871924"/>
    <w:rsid w:val="008A0082"/>
    <w:rsid w:val="008A20E4"/>
    <w:rsid w:val="008B2F33"/>
    <w:rsid w:val="008B6E25"/>
    <w:rsid w:val="008B7185"/>
    <w:rsid w:val="008D4AEF"/>
    <w:rsid w:val="008E7758"/>
    <w:rsid w:val="008F32C2"/>
    <w:rsid w:val="008F46A7"/>
    <w:rsid w:val="009024BB"/>
    <w:rsid w:val="009069FE"/>
    <w:rsid w:val="00906D15"/>
    <w:rsid w:val="0090723D"/>
    <w:rsid w:val="00910708"/>
    <w:rsid w:val="009157C9"/>
    <w:rsid w:val="009271F8"/>
    <w:rsid w:val="009272F8"/>
    <w:rsid w:val="00937A84"/>
    <w:rsid w:val="00940D86"/>
    <w:rsid w:val="009461AD"/>
    <w:rsid w:val="00956621"/>
    <w:rsid w:val="00961972"/>
    <w:rsid w:val="009748BB"/>
    <w:rsid w:val="00975252"/>
    <w:rsid w:val="00976824"/>
    <w:rsid w:val="00995372"/>
    <w:rsid w:val="00997384"/>
    <w:rsid w:val="009A61FE"/>
    <w:rsid w:val="009C6DC9"/>
    <w:rsid w:val="009D0E93"/>
    <w:rsid w:val="009D3594"/>
    <w:rsid w:val="009D6296"/>
    <w:rsid w:val="009E1DAB"/>
    <w:rsid w:val="00A00E77"/>
    <w:rsid w:val="00A14774"/>
    <w:rsid w:val="00A24344"/>
    <w:rsid w:val="00A2492E"/>
    <w:rsid w:val="00A304BF"/>
    <w:rsid w:val="00A35057"/>
    <w:rsid w:val="00A5422A"/>
    <w:rsid w:val="00A64F72"/>
    <w:rsid w:val="00A70DE6"/>
    <w:rsid w:val="00A75CB5"/>
    <w:rsid w:val="00A764F2"/>
    <w:rsid w:val="00A77EC5"/>
    <w:rsid w:val="00AA6454"/>
    <w:rsid w:val="00AB4007"/>
    <w:rsid w:val="00AB58B8"/>
    <w:rsid w:val="00AD0A4B"/>
    <w:rsid w:val="00B0344F"/>
    <w:rsid w:val="00B05B3F"/>
    <w:rsid w:val="00B12C0A"/>
    <w:rsid w:val="00B314EE"/>
    <w:rsid w:val="00B40B14"/>
    <w:rsid w:val="00B76A66"/>
    <w:rsid w:val="00B82B7D"/>
    <w:rsid w:val="00B97DC8"/>
    <w:rsid w:val="00BB4347"/>
    <w:rsid w:val="00BB4D98"/>
    <w:rsid w:val="00BD2D55"/>
    <w:rsid w:val="00BE08C5"/>
    <w:rsid w:val="00BE24D3"/>
    <w:rsid w:val="00BE2EE6"/>
    <w:rsid w:val="00BE4276"/>
    <w:rsid w:val="00BE5E97"/>
    <w:rsid w:val="00BF61F4"/>
    <w:rsid w:val="00C022CC"/>
    <w:rsid w:val="00C46628"/>
    <w:rsid w:val="00C53F85"/>
    <w:rsid w:val="00C5581C"/>
    <w:rsid w:val="00C57FC3"/>
    <w:rsid w:val="00C604A2"/>
    <w:rsid w:val="00C64302"/>
    <w:rsid w:val="00C739D4"/>
    <w:rsid w:val="00C75F90"/>
    <w:rsid w:val="00C760E5"/>
    <w:rsid w:val="00C81EC5"/>
    <w:rsid w:val="00C9407C"/>
    <w:rsid w:val="00C967C6"/>
    <w:rsid w:val="00CA0F64"/>
    <w:rsid w:val="00CA65D5"/>
    <w:rsid w:val="00CC4B57"/>
    <w:rsid w:val="00CC5B4B"/>
    <w:rsid w:val="00CE443A"/>
    <w:rsid w:val="00CE5B50"/>
    <w:rsid w:val="00CF193F"/>
    <w:rsid w:val="00D005FA"/>
    <w:rsid w:val="00D04150"/>
    <w:rsid w:val="00D10799"/>
    <w:rsid w:val="00D14575"/>
    <w:rsid w:val="00D20A09"/>
    <w:rsid w:val="00D31BC1"/>
    <w:rsid w:val="00D332F3"/>
    <w:rsid w:val="00D33D77"/>
    <w:rsid w:val="00D420A8"/>
    <w:rsid w:val="00D518DF"/>
    <w:rsid w:val="00D61298"/>
    <w:rsid w:val="00D760A6"/>
    <w:rsid w:val="00DD5A62"/>
    <w:rsid w:val="00DE6DA3"/>
    <w:rsid w:val="00DF30D1"/>
    <w:rsid w:val="00E008BD"/>
    <w:rsid w:val="00E32B00"/>
    <w:rsid w:val="00E5270C"/>
    <w:rsid w:val="00E547BC"/>
    <w:rsid w:val="00E67E7E"/>
    <w:rsid w:val="00E73C52"/>
    <w:rsid w:val="00E860C7"/>
    <w:rsid w:val="00E94BDF"/>
    <w:rsid w:val="00E9706F"/>
    <w:rsid w:val="00E9711E"/>
    <w:rsid w:val="00EA26A8"/>
    <w:rsid w:val="00EA4857"/>
    <w:rsid w:val="00EB12D8"/>
    <w:rsid w:val="00EB2126"/>
    <w:rsid w:val="00EB23F9"/>
    <w:rsid w:val="00EC792C"/>
    <w:rsid w:val="00ED293A"/>
    <w:rsid w:val="00ED68B4"/>
    <w:rsid w:val="00EE5BCC"/>
    <w:rsid w:val="00EF64C2"/>
    <w:rsid w:val="00F0178C"/>
    <w:rsid w:val="00F10857"/>
    <w:rsid w:val="00F16BC6"/>
    <w:rsid w:val="00F24CF9"/>
    <w:rsid w:val="00F31220"/>
    <w:rsid w:val="00F407AB"/>
    <w:rsid w:val="00F477BD"/>
    <w:rsid w:val="00F73900"/>
    <w:rsid w:val="00F84BE4"/>
    <w:rsid w:val="00F87457"/>
    <w:rsid w:val="00F92720"/>
    <w:rsid w:val="00FC0FF8"/>
    <w:rsid w:val="00FC51E2"/>
    <w:rsid w:val="00FE07CE"/>
    <w:rsid w:val="00FE5B2A"/>
    <w:rsid w:val="00FF002E"/>
    <w:rsid w:val="00FF4009"/>
    <w:rsid w:val="088B393E"/>
    <w:rsid w:val="11DB5BD0"/>
    <w:rsid w:val="13780074"/>
    <w:rsid w:val="185E22ED"/>
    <w:rsid w:val="202C281D"/>
    <w:rsid w:val="2E530C6F"/>
    <w:rsid w:val="33907AA4"/>
    <w:rsid w:val="35D41F5E"/>
    <w:rsid w:val="4115308A"/>
    <w:rsid w:val="5656056B"/>
    <w:rsid w:val="6AD71F18"/>
    <w:rsid w:val="6F6427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99" w:semiHidden="0"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qFormat="1" w:unhideWhenUsed="0" w:uiPriority="0" w:semiHidden="0"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lock Text"/>
    <w:basedOn w:val="1"/>
    <w:next w:val="1"/>
    <w:qFormat/>
    <w:uiPriority w:val="0"/>
    <w:pPr>
      <w:spacing w:line="360" w:lineRule="auto"/>
    </w:pPr>
    <w:rPr>
      <w:kern w:val="0"/>
      <w:sz w:val="24"/>
      <w:szCs w:val="22"/>
    </w:rPr>
  </w:style>
  <w:style w:type="paragraph" w:styleId="3">
    <w:name w:val="Normal Indent"/>
    <w:basedOn w:val="1"/>
    <w:next w:val="1"/>
    <w:qFormat/>
    <w:uiPriority w:val="99"/>
    <w:pPr>
      <w:ind w:firstLine="420" w:firstLineChars="200"/>
    </w:pPr>
    <w:rPr>
      <w:kern w:val="0"/>
      <w:sz w:val="20"/>
    </w:rPr>
  </w:style>
  <w:style w:type="paragraph" w:styleId="4">
    <w:name w:val="Body Text"/>
    <w:basedOn w:val="1"/>
    <w:link w:val="16"/>
    <w:qFormat/>
    <w:uiPriority w:val="0"/>
    <w:rPr>
      <w:rFonts w:ascii="Times New Roman" w:hAnsi="Times New Roman" w:eastAsia="文星仿宋" w:cs="Times New Roman"/>
      <w:sz w:val="32"/>
      <w:szCs w:val="24"/>
    </w:rPr>
  </w:style>
  <w:style w:type="paragraph" w:styleId="5">
    <w:name w:val="Balloon Text"/>
    <w:basedOn w:val="1"/>
    <w:link w:val="17"/>
    <w:semiHidden/>
    <w:unhideWhenUsed/>
    <w:qFormat/>
    <w:uiPriority w:val="99"/>
    <w:rPr>
      <w:sz w:val="18"/>
      <w:szCs w:val="18"/>
    </w:rPr>
  </w:style>
  <w:style w:type="paragraph" w:styleId="6">
    <w:name w:val="footer"/>
    <w:basedOn w:val="1"/>
    <w:link w:val="15"/>
    <w:unhideWhenUsed/>
    <w:qFormat/>
    <w:uiPriority w:val="0"/>
    <w:pPr>
      <w:tabs>
        <w:tab w:val="center" w:pos="4153"/>
        <w:tab w:val="right" w:pos="8306"/>
      </w:tabs>
      <w:snapToGrid w:val="0"/>
      <w:jc w:val="left"/>
    </w:pPr>
    <w:rPr>
      <w:sz w:val="18"/>
      <w:szCs w:val="18"/>
    </w:rPr>
  </w:style>
  <w:style w:type="paragraph" w:styleId="7">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semiHidden/>
    <w:unhideWhenUsed/>
    <w:qFormat/>
    <w:uiPriority w:val="99"/>
    <w:pPr>
      <w:widowControl/>
      <w:spacing w:before="100" w:beforeAutospacing="1" w:after="100" w:afterAutospacing="1" w:line="270" w:lineRule="atLeast"/>
      <w:jc w:val="left"/>
    </w:pPr>
    <w:rPr>
      <w:rFonts w:ascii="宋体" w:hAnsi="宋体" w:eastAsia="宋体" w:cs="宋体"/>
      <w:kern w:val="0"/>
      <w:sz w:val="24"/>
      <w:szCs w:val="24"/>
    </w:rPr>
  </w:style>
  <w:style w:type="character" w:styleId="11">
    <w:name w:val="Strong"/>
    <w:qFormat/>
    <w:uiPriority w:val="22"/>
    <w:rPr>
      <w:b/>
      <w:bCs/>
    </w:rPr>
  </w:style>
  <w:style w:type="character" w:styleId="12">
    <w:name w:val="page number"/>
    <w:basedOn w:val="10"/>
    <w:qFormat/>
    <w:uiPriority w:val="0"/>
  </w:style>
  <w:style w:type="character" w:styleId="13">
    <w:name w:val="Hyperlink"/>
    <w:basedOn w:val="10"/>
    <w:semiHidden/>
    <w:unhideWhenUsed/>
    <w:qFormat/>
    <w:uiPriority w:val="99"/>
    <w:rPr>
      <w:color w:val="0000FF"/>
      <w:u w:val="single"/>
    </w:rPr>
  </w:style>
  <w:style w:type="character" w:customStyle="1" w:styleId="14">
    <w:name w:val="页眉 Char"/>
    <w:basedOn w:val="10"/>
    <w:link w:val="7"/>
    <w:qFormat/>
    <w:uiPriority w:val="99"/>
    <w:rPr>
      <w:sz w:val="18"/>
      <w:szCs w:val="18"/>
    </w:rPr>
  </w:style>
  <w:style w:type="character" w:customStyle="1" w:styleId="15">
    <w:name w:val="页脚 Char"/>
    <w:basedOn w:val="10"/>
    <w:link w:val="6"/>
    <w:semiHidden/>
    <w:qFormat/>
    <w:uiPriority w:val="0"/>
    <w:rPr>
      <w:sz w:val="18"/>
      <w:szCs w:val="18"/>
    </w:rPr>
  </w:style>
  <w:style w:type="character" w:customStyle="1" w:styleId="16">
    <w:name w:val="正文文本 Char"/>
    <w:basedOn w:val="10"/>
    <w:link w:val="4"/>
    <w:qFormat/>
    <w:uiPriority w:val="0"/>
    <w:rPr>
      <w:rFonts w:ascii="Times New Roman" w:hAnsi="Times New Roman" w:eastAsia="文星仿宋" w:cs="Times New Roman"/>
      <w:sz w:val="32"/>
      <w:szCs w:val="24"/>
    </w:rPr>
  </w:style>
  <w:style w:type="character" w:customStyle="1" w:styleId="17">
    <w:name w:val="批注框文本 Char"/>
    <w:basedOn w:val="10"/>
    <w:link w:val="5"/>
    <w:semiHidden/>
    <w:qFormat/>
    <w:uiPriority w:val="99"/>
    <w:rPr>
      <w:sz w:val="18"/>
      <w:szCs w:val="18"/>
    </w:rPr>
  </w:style>
  <w:style w:type="paragraph" w:styleId="18">
    <w:name w:val="List Paragraph"/>
    <w:basedOn w:val="1"/>
    <w:qFormat/>
    <w:uiPriority w:val="34"/>
    <w:pPr>
      <w:ind w:firstLine="420" w:firstLineChars="200"/>
    </w:pPr>
  </w:style>
  <w:style w:type="paragraph" w:customStyle="1" w:styleId="19">
    <w:name w:val="环评正文"/>
    <w:basedOn w:val="1"/>
    <w:link w:val="20"/>
    <w:qFormat/>
    <w:uiPriority w:val="0"/>
    <w:pPr>
      <w:spacing w:line="360" w:lineRule="auto"/>
      <w:ind w:firstLine="200" w:firstLineChars="200"/>
    </w:pPr>
    <w:rPr>
      <w:rFonts w:ascii="Cambria Math" w:hAnsi="Cambria Math" w:eastAsia="宋体" w:cs="Times New Roman"/>
      <w:sz w:val="24"/>
      <w:szCs w:val="24"/>
    </w:rPr>
  </w:style>
  <w:style w:type="character" w:customStyle="1" w:styleId="20">
    <w:name w:val="环评正文 Char"/>
    <w:link w:val="19"/>
    <w:qFormat/>
    <w:uiPriority w:val="0"/>
    <w:rPr>
      <w:rFonts w:ascii="Cambria Math" w:hAnsi="Cambria Math" w:eastAsia="宋体" w:cs="Times New Roman"/>
      <w:sz w:val="24"/>
      <w:szCs w:val="24"/>
    </w:rPr>
  </w:style>
  <w:style w:type="character" w:customStyle="1" w:styleId="21">
    <w:name w:val="fontstyle01"/>
    <w:basedOn w:val="10"/>
    <w:qFormat/>
    <w:uiPriority w:val="0"/>
    <w:rPr>
      <w:rFonts w:hint="eastAsia" w:ascii="宋体" w:hAnsi="宋体" w:eastAsia="宋体"/>
      <w:color w:val="000000"/>
      <w:sz w:val="24"/>
      <w:szCs w:val="24"/>
    </w:rPr>
  </w:style>
  <w:style w:type="character" w:customStyle="1" w:styleId="22">
    <w:name w:val="fontstyle21"/>
    <w:basedOn w:val="10"/>
    <w:qFormat/>
    <w:uiPriority w:val="0"/>
    <w:rPr>
      <w:rFonts w:hint="default" w:ascii="TimesNewRomanPSMT" w:hAnsi="TimesNewRomanPSMT"/>
      <w:color w:val="000000"/>
      <w:sz w:val="24"/>
      <w:szCs w:val="24"/>
    </w:rPr>
  </w:style>
  <w:style w:type="character" w:customStyle="1" w:styleId="23">
    <w:name w:val="fontstyle11"/>
    <w:basedOn w:val="10"/>
    <w:qFormat/>
    <w:uiPriority w:val="0"/>
    <w:rPr>
      <w:rFonts w:hint="default" w:ascii="TimesNewRomanPSMT" w:hAnsi="TimesNewRomanPSMT"/>
      <w:color w:val="000000"/>
      <w:sz w:val="24"/>
      <w:szCs w:val="24"/>
    </w:rPr>
  </w:style>
  <w:style w:type="paragraph" w:customStyle="1" w:styleId="24">
    <w:name w:val="Default"/>
    <w:qFormat/>
    <w:uiPriority w:val="0"/>
    <w:pPr>
      <w:widowControl w:val="0"/>
      <w:autoSpaceDE w:val="0"/>
      <w:autoSpaceDN w:val="0"/>
      <w:adjustRightInd w:val="0"/>
    </w:pPr>
    <w:rPr>
      <w:rFonts w:ascii="仿宋_GB2312" w:hAnsi="仿宋_GB2312" w:cs="仿宋_GB2312" w:eastAsiaTheme="minorEastAsia"/>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WwW.YlmF.CoM</Company>
  <Pages>2</Pages>
  <Words>701</Words>
  <Characters>723</Characters>
  <Lines>5</Lines>
  <Paragraphs>1</Paragraphs>
  <TotalTime>85</TotalTime>
  <ScaleCrop>false</ScaleCrop>
  <LinksUpToDate>false</LinksUpToDate>
  <CharactersWithSpaces>786</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2018-09-17T09:08:00Z</dcterms:created>
  <dc:creator>郑洁</dc:creator>
  <cp:lastModifiedBy>孤狼轩</cp:lastModifiedBy>
  <dcterms:modified xsi:type="dcterms:W3CDTF">2025-02-07T02:31:42Z</dcterms:modified>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653E7A8EA90E4B5092B7CFE7FB52E879_13</vt:lpwstr>
  </property>
  <property fmtid="{D5CDD505-2E9C-101B-9397-08002B2CF9AE}" pid="4" name="KSOTemplateDocerSaveRecord">
    <vt:lpwstr>eyJoZGlkIjoiOGNkNzkwNDFhNTBhZTU1MmEyN2FmYTE5MDNiYjJlYTciLCJ1c2VySWQiOiIzOTkyNTc2MTgifQ==</vt:lpwstr>
  </property>
</Properties>
</file>