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</w:rPr>
      </w:pPr>
      <w:bookmarkStart w:id="14" w:name="_GoBack"/>
      <w:bookmarkEnd w:id="14"/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天津港保税区临港社区卫生服务中心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2025年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b/>
          <w:sz w:val="30"/>
          <w:szCs w:val="30"/>
        </w:rPr>
        <w:t>预算情况说明</w:t>
      </w:r>
    </w:p>
    <w:p>
      <w:pPr>
        <w:spacing w:line="600" w:lineRule="exact"/>
        <w:ind w:firstLine="594" w:firstLineChars="198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五、关于财政拨款一般公共预算支出预算表的说明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六、关于财政拨款一般公共预算基本支出预算表的说明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</w:t>
      </w:r>
      <w:r>
        <w:rPr>
          <w:rFonts w:hint="eastAsia" w:ascii="仿宋_GB2312" w:hAnsi="Times New Roman" w:eastAsia="仿宋_GB2312"/>
          <w:spacing w:val="-20"/>
          <w:sz w:val="30"/>
          <w:szCs w:val="30"/>
        </w:rPr>
        <w:t>关于财政拨款一般公共预算“三公”经费支出预算表的说明</w:t>
      </w:r>
    </w:p>
    <w:p>
      <w:pPr>
        <w:spacing w:line="600" w:lineRule="exact"/>
        <w:ind w:left="1200" w:leftChars="250" w:hanging="600" w:hangingChars="200"/>
        <w:rPr>
          <w:rFonts w:hint="eastAsia" w:ascii="仿宋_GB2312" w:hAnsi="Times New Roman" w:eastAsia="仿宋_GB2312"/>
          <w:spacing w:val="-20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八、关于财政拨款政府性基金预算支出预算表的说明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2025年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b/>
          <w:sz w:val="30"/>
          <w:szCs w:val="30"/>
        </w:rPr>
        <w:t>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</w:t>
      </w:r>
      <w:r>
        <w:rPr>
          <w:rFonts w:ascii="仿宋_GB2312" w:hAnsi="Times New Roman" w:eastAsia="仿宋_GB2312"/>
          <w:sz w:val="30"/>
          <w:szCs w:val="30"/>
        </w:rPr>
        <w:t>2025年收支预算总表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ascii="仿宋_GB2312" w:hAnsi="Times New Roman" w:eastAsia="仿宋_GB2312"/>
          <w:sz w:val="30"/>
          <w:szCs w:val="30"/>
        </w:rPr>
        <w:t>2025年收入预算总表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</w:t>
      </w:r>
      <w:r>
        <w:rPr>
          <w:rFonts w:ascii="仿宋_GB2312" w:hAnsi="Times New Roman" w:eastAsia="仿宋_GB2312"/>
          <w:sz w:val="30"/>
          <w:szCs w:val="30"/>
        </w:rPr>
        <w:t>2025年支出预算总表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</w:t>
      </w:r>
      <w:r>
        <w:rPr>
          <w:rFonts w:ascii="仿宋_GB2312" w:hAnsi="Times New Roman" w:eastAsia="仿宋_GB2312"/>
          <w:sz w:val="30"/>
          <w:szCs w:val="30"/>
        </w:rPr>
        <w:t>2025年财政拨款收支预算总表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</w:t>
      </w:r>
      <w:r>
        <w:rPr>
          <w:rFonts w:ascii="仿宋_GB2312" w:hAnsi="Times New Roman" w:eastAsia="仿宋_GB2312"/>
          <w:sz w:val="30"/>
          <w:szCs w:val="30"/>
        </w:rPr>
        <w:t>2025年财政拨款一般公共预算支出预算表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</w:t>
      </w:r>
      <w:r>
        <w:rPr>
          <w:rFonts w:ascii="仿宋_GB2312" w:hAnsi="Times New Roman" w:eastAsia="仿宋_GB2312"/>
          <w:sz w:val="30"/>
          <w:szCs w:val="30"/>
        </w:rPr>
        <w:t>2025年财政拨款一般公共预算基本支出预算表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七、2025年财政拨款一般公共预算“三公”经费支出预算表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</w:t>
      </w:r>
      <w:r>
        <w:rPr>
          <w:rFonts w:ascii="仿宋_GB2312" w:hAnsi="Times New Roman" w:eastAsia="仿宋_GB2312"/>
          <w:sz w:val="30"/>
          <w:szCs w:val="30"/>
        </w:rPr>
        <w:t>2025年财政拨款政府性基金预算支出预算表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九、2025年国有资本经营预算支出预算表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</w:t>
      </w:r>
      <w:r>
        <w:rPr>
          <w:rFonts w:ascii="仿宋_GB2312" w:hAnsi="Times New Roman" w:eastAsia="仿宋_GB2312"/>
          <w:sz w:val="30"/>
          <w:szCs w:val="30"/>
        </w:rPr>
        <w:t>2025年项目支出预算表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</w:t>
      </w:r>
      <w:r>
        <w:rPr>
          <w:rFonts w:ascii="仿宋_GB2312" w:hAnsi="Times New Roman" w:eastAsia="仿宋_GB2312"/>
          <w:sz w:val="30"/>
          <w:szCs w:val="30"/>
        </w:rPr>
        <w:t>2025年财政拨款政府采购预算表</w:t>
      </w:r>
    </w:p>
    <w:p>
      <w:pPr>
        <w:spacing w:line="600" w:lineRule="exact"/>
        <w:ind w:firstLine="594" w:firstLineChars="198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十二、关于空表的说明</w:t>
      </w: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" w:name="_Toc78784555"/>
      <w:r>
        <w:rPr>
          <w:rFonts w:hint="eastAsia" w:ascii="仿宋_GB2312" w:hAnsi="Times New Roman" w:eastAsia="仿宋_GB2312"/>
          <w:b/>
          <w:sz w:val="30"/>
          <w:szCs w:val="30"/>
        </w:rPr>
        <w:t>主要职责</w:t>
      </w:r>
      <w:bookmarkEnd w:id="1"/>
      <w:bookmarkStart w:id="2" w:name="_Toc78784556"/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 w:bidi="ar-SA"/>
        </w:rPr>
        <w:t>天津港保税区临港社区卫生服务中心成立于2021年11月，2021年12月30日正式启动运营，2022年8月被批复为独立预算事业单位，位于天津市滨海新区金沙江道191号临港时尚商业中心E区1-6层，占地6249.62平方米，辐射人口3万余人，设有全科、检验科、预防保健科、妇产科、儿科、口腔科、医学影像科、中医科等科室，配备先进的医疗设备，开展全科诊疗、健康教育等工作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二、机构设置</w:t>
      </w:r>
      <w:bookmarkEnd w:id="2"/>
      <w:r>
        <w:rPr>
          <w:rFonts w:hint="eastAsia" w:ascii="仿宋_GB2312" w:hAnsi="Times New Roman" w:eastAsia="仿宋_GB2312"/>
          <w:b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本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ascii="仿宋_GB2312" w:hAnsi="Times New Roman" w:eastAsia="仿宋_GB2312"/>
          <w:sz w:val="30"/>
          <w:szCs w:val="30"/>
        </w:rPr>
        <w:t>内设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8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个职能处室；下辖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</w:t>
      </w:r>
      <w:r>
        <w:rPr>
          <w:rFonts w:ascii="仿宋_GB2312" w:hAnsi="Times New Roman" w:eastAsia="仿宋_GB2312"/>
          <w:sz w:val="30"/>
          <w:szCs w:val="30"/>
        </w:rPr>
        <w:t>个预算单位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>
      <w:pPr>
        <w:spacing w:line="600" w:lineRule="exact"/>
        <w:ind w:firstLine="600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纳入本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2025年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预算编制范围的预算单位包括：</w:t>
      </w:r>
    </w:p>
    <w:p>
      <w:pPr>
        <w:spacing w:line="600" w:lineRule="exact"/>
        <w:ind w:firstLine="600"/>
        <w:jc w:val="both"/>
        <w:rPr>
          <w:rFonts w:hint="eastAsia" w:ascii="仿宋_GB2312" w:hAnsi="Times New Roman" w:eastAsia="仿宋_GB2312"/>
          <w:color w:val="FF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1.天津港保税区临港社区卫生服务中心</w:t>
      </w:r>
    </w:p>
    <w:p>
      <w:pPr>
        <w:spacing w:line="600" w:lineRule="exact"/>
        <w:ind w:firstLine="600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2"/>
        <w:keepNext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2025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4" w:name="_Toc78784571"/>
      <w:r>
        <w:rPr>
          <w:rFonts w:hint="eastAsia" w:ascii="仿宋_GB2312" w:hAnsi="Times New Roman" w:eastAsia="仿宋_GB2312"/>
          <w:b/>
          <w:sz w:val="30"/>
          <w:szCs w:val="30"/>
        </w:rPr>
        <w:t>一、</w:t>
      </w:r>
      <w:bookmarkEnd w:id="4"/>
      <w:r>
        <w:rPr>
          <w:rFonts w:hint="eastAsia" w:ascii="仿宋_GB2312" w:hAnsi="Times New Roman" w:eastAsia="仿宋_GB2312"/>
          <w:b/>
          <w:sz w:val="30"/>
          <w:szCs w:val="30"/>
        </w:rPr>
        <w:t>关于收支预算总表的说明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按照综合预算的原则，本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所有收入和支出均纳入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预算管理。收入包括：一般公共预算拨款收入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1761.82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政府性基金预算拨款收入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国有资本经营预算拨款收入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、财政专户管理资金收入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、事业收入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151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事业单位经营收入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上级补助收入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万元、</w:t>
      </w:r>
      <w:r>
        <w:rPr>
          <w:rFonts w:hint="eastAsia" w:ascii="仿宋_GB2312" w:hAnsi="Times New Roman" w:eastAsia="仿宋_GB2312"/>
          <w:sz w:val="30"/>
          <w:szCs w:val="30"/>
        </w:rPr>
        <w:t>附属单位上缴收入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、其他收入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、</w:t>
      </w:r>
      <w:r>
        <w:rPr>
          <w:rFonts w:ascii="仿宋_GB2312" w:hAnsi="Times New Roman" w:eastAsia="仿宋_GB2312"/>
          <w:sz w:val="30"/>
          <w:szCs w:val="30"/>
        </w:rPr>
        <w:t>上年结转结余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>205.80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 xml:space="preserve">；支出包括：卫生健康支出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2118.62</w:t>
      </w:r>
      <w:r>
        <w:rPr>
          <w:rFonts w:hint="eastAsia" w:ascii="仿宋_GB2312" w:hAnsi="Times New Roman" w:eastAsia="仿宋_GB2312"/>
          <w:sz w:val="30"/>
          <w:szCs w:val="30"/>
        </w:rPr>
        <w:t>万元。本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2025年收支总预算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2118.62 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5" w:name="_Toc78784572"/>
      <w:r>
        <w:rPr>
          <w:rFonts w:hint="eastAsia" w:ascii="仿宋_GB2312" w:hAnsi="Times New Roman" w:eastAsia="仿宋_GB2312"/>
          <w:b/>
          <w:sz w:val="30"/>
          <w:szCs w:val="30"/>
        </w:rPr>
        <w:t>二、</w:t>
      </w:r>
      <w:bookmarkEnd w:id="5"/>
      <w:r>
        <w:rPr>
          <w:rFonts w:hint="eastAsia" w:ascii="仿宋_GB2312" w:hAnsi="Times New Roman" w:eastAsia="仿宋_GB2312"/>
          <w:b/>
          <w:sz w:val="30"/>
          <w:szCs w:val="30"/>
        </w:rPr>
        <w:t>关于收入预算总表的说明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本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2025</w:t>
      </w:r>
      <w:r>
        <w:rPr>
          <w:rFonts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预算</w:t>
      </w:r>
      <w:r>
        <w:rPr>
          <w:rFonts w:ascii="仿宋_GB2312" w:hAnsi="Times New Roman" w:eastAsia="仿宋_GB2312"/>
          <w:sz w:val="30"/>
          <w:szCs w:val="30"/>
        </w:rPr>
        <w:t>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2118.62</w:t>
      </w:r>
      <w:r>
        <w:rPr>
          <w:rFonts w:ascii="仿宋_GB2312" w:hAnsi="Times New Roman" w:eastAsia="仿宋_GB2312"/>
          <w:sz w:val="30"/>
          <w:szCs w:val="30"/>
        </w:rPr>
        <w:t>万元，与</w:t>
      </w:r>
      <w:r>
        <w:rPr>
          <w:rFonts w:hint="eastAsia" w:ascii="仿宋_GB2312" w:hAnsi="Times New Roman" w:eastAsia="仿宋_GB2312"/>
          <w:sz w:val="30"/>
          <w:szCs w:val="30"/>
        </w:rPr>
        <w:t>2024</w:t>
      </w:r>
      <w:r>
        <w:rPr>
          <w:rFonts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</w:rPr>
        <w:t>预</w:t>
      </w:r>
      <w:r>
        <w:rPr>
          <w:rFonts w:ascii="仿宋_GB2312" w:hAnsi="Times New Roman" w:eastAsia="仿宋_GB2312"/>
          <w:sz w:val="30"/>
          <w:szCs w:val="30"/>
        </w:rPr>
        <w:t>算相比增加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288.62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</w:t>
      </w:r>
      <w:r>
        <w:rPr>
          <w:rFonts w:hint="eastAsia" w:ascii="仿宋_GB2312" w:hAnsi="Times New Roman" w:eastAsia="仿宋_GB2312"/>
          <w:sz w:val="30"/>
          <w:szCs w:val="30"/>
        </w:rPr>
        <w:t>主要原因是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医疗业务扩大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  <w:r>
        <w:rPr>
          <w:rFonts w:ascii="仿宋_GB2312" w:hAnsi="Times New Roman" w:eastAsia="仿宋_GB2312"/>
          <w:sz w:val="30"/>
          <w:szCs w:val="30"/>
        </w:rPr>
        <w:t>其中：</w:t>
      </w:r>
      <w:r>
        <w:rPr>
          <w:rFonts w:hint="eastAsia" w:ascii="仿宋_GB2312" w:hAnsi="Times New Roman" w:eastAsia="仿宋_GB2312"/>
          <w:sz w:val="30"/>
          <w:szCs w:val="30"/>
        </w:rPr>
        <w:t>上年结转结余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>205.80</w:t>
      </w:r>
      <w:r>
        <w:rPr>
          <w:rFonts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Times New Roman" w:eastAsia="仿宋_GB2312"/>
          <w:sz w:val="30"/>
          <w:szCs w:val="30"/>
        </w:rPr>
        <w:t>，占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9.7</w:t>
      </w:r>
      <w:r>
        <w:rPr>
          <w:rFonts w:ascii="仿宋_GB2312" w:hAnsi="Times New Roman" w:eastAsia="仿宋_GB2312"/>
          <w:sz w:val="30"/>
          <w:szCs w:val="30"/>
        </w:rPr>
        <w:t>%；一般公共预算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>1761.82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83.16</w:t>
      </w:r>
      <w:r>
        <w:rPr>
          <w:rFonts w:ascii="仿宋_GB2312" w:hAnsi="Times New Roman" w:eastAsia="仿宋_GB2312"/>
          <w:sz w:val="30"/>
          <w:szCs w:val="30"/>
        </w:rPr>
        <w:t>%；政府性基金预算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%；国有资本经营预算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</w:t>
      </w:r>
      <w:r>
        <w:rPr>
          <w:rFonts w:hint="eastAsia" w:ascii="仿宋_GB2312" w:hAnsi="Times New Roman" w:eastAsia="仿宋_GB2312"/>
          <w:sz w:val="30"/>
          <w:szCs w:val="30"/>
        </w:rPr>
        <w:t>财政专户管理资金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%；事业收入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151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7.14</w:t>
      </w:r>
      <w:r>
        <w:rPr>
          <w:rFonts w:ascii="仿宋_GB2312" w:hAnsi="Times New Roman" w:eastAsia="仿宋_GB2312"/>
          <w:sz w:val="30"/>
          <w:szCs w:val="30"/>
        </w:rPr>
        <w:t>%；</w:t>
      </w:r>
      <w:r>
        <w:rPr>
          <w:rFonts w:hint="eastAsia" w:ascii="仿宋_GB2312" w:hAnsi="Times New Roman" w:eastAsia="仿宋_GB2312"/>
          <w:sz w:val="30"/>
          <w:szCs w:val="30"/>
        </w:rPr>
        <w:t>事业单位</w:t>
      </w:r>
      <w:r>
        <w:rPr>
          <w:rFonts w:ascii="仿宋_GB2312" w:hAnsi="Times New Roman" w:eastAsia="仿宋_GB2312"/>
          <w:sz w:val="30"/>
          <w:szCs w:val="30"/>
        </w:rPr>
        <w:t>经营收入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%；上级补助收入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%；附属单位上缴收入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%；其他收入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万元，占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%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  <w:bookmarkStart w:id="6" w:name="_Toc78784573"/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</w:t>
      </w:r>
      <w:bookmarkEnd w:id="6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关于支出预算总表的说明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2025年支出预算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2118.62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288.62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人员成本增加，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医疗业务扩大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。其中：基本支出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%；项目支出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2118.62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</w:rPr>
        <w:t>%；事业单位经营支出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%；上缴上级支出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%；对附属单位补助支出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%。 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7" w:name="_Toc78784574"/>
      <w:r>
        <w:rPr>
          <w:rFonts w:hint="eastAsia" w:ascii="仿宋_GB2312" w:hAnsi="仿宋_GB2312" w:eastAsia="仿宋_GB2312" w:cs="仿宋_GB2312"/>
          <w:b/>
          <w:sz w:val="30"/>
          <w:szCs w:val="30"/>
        </w:rPr>
        <w:t>四、</w:t>
      </w:r>
      <w:bookmarkEnd w:id="7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关于财政拨款收支预算总表的说明</w:t>
      </w: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2025年财政拨款收入预算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1790.62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473.62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人员成本增加，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医疗业务扩大</w:t>
      </w:r>
      <w:r>
        <w:rPr>
          <w:rFonts w:hint="eastAsia" w:ascii="仿宋_GB2312" w:hAnsi="仿宋_GB2312" w:eastAsia="仿宋_GB2312" w:cs="仿宋_GB2312"/>
          <w:sz w:val="30"/>
          <w:szCs w:val="30"/>
        </w:rPr>
        <w:t>。收入包括：一般公共预算拨款收入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1761.82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万元、政府性基金预算拨款收入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万元、国有资本经营预算拨款收入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万元、上年财政结转结余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28.8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万元。2025年财政拨款支出预算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1790.62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473.62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人员成本增加，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医疗业务扩大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。支出包括：</w:t>
      </w:r>
      <w:r>
        <w:rPr>
          <w:rFonts w:hint="eastAsia" w:ascii="仿宋_GB2312" w:hAnsi="Times New Roman" w:eastAsia="仿宋_GB2312"/>
          <w:sz w:val="30"/>
          <w:szCs w:val="30"/>
        </w:rPr>
        <w:t xml:space="preserve">卫生健康支出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1790.62</w:t>
      </w:r>
      <w:r>
        <w:rPr>
          <w:rFonts w:hint="eastAsia" w:ascii="仿宋_GB2312" w:hAnsi="Times New Roman" w:eastAsia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8" w:name="_Toc78784575"/>
      <w:r>
        <w:rPr>
          <w:rFonts w:hint="eastAsia" w:ascii="仿宋_GB2312" w:hAnsi="仿宋_GB2312" w:eastAsia="仿宋_GB2312" w:cs="仿宋_GB2312"/>
          <w:b/>
          <w:sz w:val="30"/>
          <w:szCs w:val="30"/>
        </w:rPr>
        <w:t>五、</w:t>
      </w:r>
      <w:bookmarkEnd w:id="8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关于财政拨款一般公共预算支出预算表的说明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（一）总体情况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2025年一般公共预算支出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1790.62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473.62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人员成本增加，</w:t>
      </w:r>
      <w:r>
        <w:rPr>
          <w:rFonts w:hint="eastAsia" w:ascii="仿宋_GB2312" w:hAnsi="Times New Roman" w:eastAsia="仿宋_GB2312"/>
          <w:sz w:val="30"/>
          <w:szCs w:val="30"/>
          <w:u w:val="single"/>
          <w:lang w:val="en-US" w:eastAsia="zh-CN"/>
        </w:rPr>
        <w:t>医疗业务扩大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（二）具体情况</w:t>
      </w:r>
    </w:p>
    <w:p>
      <w:pPr>
        <w:numPr>
          <w:ilvl w:val="0"/>
          <w:numId w:val="2"/>
        </w:numPr>
        <w:wordWrap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“210卫生健康支出（类）”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1790.62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万元，与2024年预算相比增加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473.62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人员成本增加，医疗业务扩大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“21003基层医疗卫生机构（款）”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1728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万元，包括：“2100301城市社区卫生机构（项）”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1728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本单位运营的派遣人员费用、房屋租赁费、物业费等支出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“2100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4公共卫生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（款）”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62.62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万元，包括：“2100408基本公共卫生服务（项）”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62.62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本单位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开展基本公共卫生服务的支出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9" w:name="_Toc78784576"/>
      <w:r>
        <w:rPr>
          <w:rFonts w:hint="eastAsia" w:ascii="仿宋_GB2312" w:hAnsi="仿宋_GB2312" w:eastAsia="仿宋_GB2312" w:cs="仿宋_GB2312"/>
          <w:b/>
          <w:sz w:val="30"/>
          <w:szCs w:val="30"/>
        </w:rPr>
        <w:t>六、</w:t>
      </w:r>
      <w:bookmarkEnd w:id="9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关于财政拨款一般公共预算基本支出预算表的说明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一般公共预算基本支出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本单位一般公共预算未安排财政拨款一般公共预算基本支出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人员经费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公用经费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10" w:name="_Toc78784577"/>
      <w:r>
        <w:rPr>
          <w:rFonts w:hint="eastAsia" w:ascii="仿宋_GB2312" w:hAnsi="仿宋_GB2312" w:eastAsia="仿宋_GB2312" w:cs="仿宋_GB2312"/>
          <w:b/>
          <w:sz w:val="30"/>
          <w:szCs w:val="30"/>
        </w:rPr>
        <w:t>七、关于财政拨款一般公共预算“三公”经费支出预算表的说明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2025年一般公共预算“三公”经费安排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一般公共预算未安排“三公”经费</w:t>
      </w:r>
      <w:r>
        <w:rPr>
          <w:rFonts w:hint="eastAsia" w:ascii="仿宋_GB2312" w:hAnsi="仿宋_GB2312" w:eastAsia="仿宋_GB2312" w:cs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（一）2025年因公出国（境）费预算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一般公共预算未安排“三公”经费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（二）2025年公务用车购置及运行费预算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万元，其中公务用车运行费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一般公共预算未安排“三公”经费</w:t>
      </w:r>
      <w:r>
        <w:rPr>
          <w:rFonts w:hint="eastAsia" w:ascii="仿宋_GB2312" w:hAnsi="仿宋_GB2312" w:eastAsia="仿宋_GB2312" w:cs="仿宋_GB2312"/>
          <w:sz w:val="30"/>
          <w:szCs w:val="30"/>
        </w:rPr>
        <w:t>；公务用车购置费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一般公共预算未安排“三公”经费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（三）2025年公务接待费预算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一般公共预算未安排“三公”经费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八、</w:t>
      </w:r>
      <w:bookmarkEnd w:id="10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关于财政拨款政府性基金预算支出预算表的说明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（一）总体情况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政府性基金预算支出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2025年本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预算中没有使用政府性基金预算安排的支出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（二）具体情况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预算中没有使用政府性基金预算安排的支出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11" w:name="_Toc78784578"/>
      <w:r>
        <w:rPr>
          <w:rFonts w:hint="eastAsia" w:ascii="仿宋_GB2312" w:hAnsi="仿宋_GB2312" w:eastAsia="仿宋_GB2312" w:cs="仿宋_GB2312"/>
          <w:b/>
          <w:sz w:val="30"/>
          <w:szCs w:val="30"/>
        </w:rPr>
        <w:t>九、</w:t>
      </w:r>
      <w:bookmarkEnd w:id="11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关于国有资本经营预算支出预算表的说明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（一）总体情况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国有资本经营预算支出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2025年本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预算中没有使用国有资本经营预算预算安排的支出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（二）具体情况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预算中没有使用国有资本经营预算预算安排的支出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12" w:name="_Toc78784579"/>
      <w:r>
        <w:rPr>
          <w:rFonts w:hint="eastAsia" w:ascii="仿宋_GB2312" w:hAnsi="仿宋_GB2312" w:eastAsia="仿宋_GB2312" w:cs="仿宋_GB2312"/>
          <w:b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一）机关运行经费</w:t>
      </w:r>
      <w:bookmarkEnd w:id="12"/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2025年未安排机关运行经费预算。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（二）政府采购情况</w:t>
      </w:r>
    </w:p>
    <w:p>
      <w:pPr>
        <w:kinsoku w:val="0"/>
        <w:wordWrap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2025年安排政府采购预算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1006.5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万元、政府采购工程支出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万元、政府采购服务支出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939.5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万元。主要项目是：设备及信息网络、软件购置费用项目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房屋租赁费用和保安、物业服务及水电费用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939.5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（三）国有资产占用情况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4080"/>
          <w:sz w:val="27"/>
          <w:szCs w:val="27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截至2024年7月底，本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各单位共有车辆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辆，其中：副部（省）级及以上领导用车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辆、主要负责人干部用车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辆、应急保障用车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辆、执法执勤用车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辆、特种专业技术用车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辆、离退休干部服务用车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辆、其他用车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辆，其他用车主要包括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。单价（账面原值）100万以上的设备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台（套）。</w:t>
      </w:r>
      <w:r>
        <w:rPr>
          <w:rFonts w:hint="eastAsia" w:ascii="仿宋_GB2312" w:hAnsi="仿宋_GB2312" w:eastAsia="仿宋_GB2312" w:cs="仿宋_GB2312"/>
          <w:color w:val="004080"/>
          <w:sz w:val="27"/>
          <w:szCs w:val="27"/>
          <w:lang w:val="zh-CN"/>
        </w:rPr>
        <w:t xml:space="preserve"> 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（四）预算绩效情况说明</w:t>
      </w:r>
    </w:p>
    <w:p>
      <w:pPr>
        <w:spacing w:line="580" w:lineRule="exact"/>
        <w:ind w:left="151" w:leftChars="63" w:firstLine="450" w:firstLineChars="1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2025年实行绩效目标管理的项目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个，涉及预算金额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1761.82  </w:t>
      </w:r>
      <w:r>
        <w:rPr>
          <w:rFonts w:hint="eastAsia" w:ascii="仿宋_GB2312" w:hAnsi="仿宋_GB2312" w:eastAsia="仿宋_GB2312" w:cs="仿宋_GB2312"/>
          <w:sz w:val="30"/>
          <w:szCs w:val="30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元。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</w:p>
    <w:p>
      <w:pPr>
        <w:pStyle w:val="2"/>
        <w:keepLines w:val="0"/>
        <w:spacing w:before="0" w:after="0" w:line="240" w:lineRule="auto"/>
        <w:jc w:val="both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rPr>
          <w:rFonts w:hint="eastAsia"/>
        </w:rPr>
      </w:pPr>
    </w:p>
    <w:p>
      <w:pPr>
        <w:pStyle w:val="2"/>
        <w:keepLines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>1.</w:t>
      </w:r>
      <w:r>
        <w:rPr>
          <w:rFonts w:hint="eastAsia" w:eastAsia="楷体_GB2312"/>
          <w:b/>
          <w:sz w:val="30"/>
          <w:szCs w:val="30"/>
        </w:rPr>
        <w:t>部门预算。</w:t>
      </w:r>
      <w:r>
        <w:rPr>
          <w:rFonts w:hint="eastAsia" w:eastAsia="仿宋_GB2312"/>
          <w:sz w:val="30"/>
          <w:szCs w:val="30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2.</w:t>
      </w:r>
      <w:r>
        <w:rPr>
          <w:rFonts w:eastAsia="楷体_GB2312"/>
          <w:b/>
          <w:sz w:val="30"/>
          <w:szCs w:val="30"/>
        </w:rPr>
        <w:t xml:space="preserve"> 机关运行经费</w:t>
      </w:r>
      <w:r>
        <w:rPr>
          <w:rFonts w:hint="eastAsia" w:eastAsia="楷体_GB2312"/>
          <w:b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2025年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预算表</w:t>
      </w:r>
    </w:p>
    <w:p>
      <w:pPr>
        <w:spacing w:line="600" w:lineRule="exact"/>
        <w:ind w:firstLine="594" w:firstLineChars="198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2025年收支预算总表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2025年收入预算总表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2025年支出预算总表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2025年财政拨款收支预算总表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</w:t>
      </w:r>
      <w:r>
        <w:rPr>
          <w:rFonts w:eastAsia="仿宋_GB2312"/>
          <w:sz w:val="30"/>
          <w:szCs w:val="30"/>
        </w:rPr>
        <w:t>2025年财政拨款一般公共预算支出预算表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2025年财政拨款一般公共预算基本支出预算表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七、2025年财政拨款一般公共预算“三公”经费支出预算表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</w:t>
      </w:r>
      <w:r>
        <w:rPr>
          <w:rFonts w:eastAsia="仿宋_GB2312"/>
          <w:sz w:val="30"/>
          <w:szCs w:val="30"/>
        </w:rPr>
        <w:t>2025年财政拨款政府性基金预算支出预算表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九、2025年国有资本经营预算支出预算表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>2025年项目支出预算表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</w:t>
      </w:r>
      <w:r>
        <w:rPr>
          <w:rFonts w:eastAsia="仿宋_GB2312"/>
          <w:sz w:val="30"/>
          <w:szCs w:val="30"/>
        </w:rPr>
        <w:t>2025年财政拨款政府采购预算表</w:t>
      </w:r>
    </w:p>
    <w:p>
      <w:pPr>
        <w:spacing w:line="560" w:lineRule="exact"/>
        <w:ind w:left="480" w:leftChars="200" w:firstLine="147" w:firstLineChars="49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十二、关于空表的说明</w:t>
      </w:r>
      <w:r>
        <w:rPr>
          <w:rFonts w:hint="eastAsia" w:eastAsia="仿宋_GB2312"/>
          <w:sz w:val="30"/>
          <w:szCs w:val="30"/>
        </w:rPr>
        <w:tab/>
      </w:r>
    </w:p>
    <w:p>
      <w:pPr>
        <w:spacing w:line="580" w:lineRule="exact"/>
        <w:ind w:firstLine="600" w:firstLineChars="20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1、本单位202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eastAsia="仿宋_GB2312"/>
          <w:color w:val="000000"/>
          <w:sz w:val="30"/>
          <w:szCs w:val="30"/>
        </w:rPr>
        <w:t>年财政拨款一般公共预算基本支出预算表为空表。</w:t>
      </w:r>
    </w:p>
    <w:p>
      <w:pPr>
        <w:spacing w:line="580" w:lineRule="exact"/>
        <w:ind w:firstLine="600" w:firstLineChars="200"/>
        <w:rPr>
          <w:rFonts w:hint="eastAsia" w:ascii="MS Serif" w:hAnsi="MS Serif" w:eastAsia="仿宋_GB2312" w:cs="Times New Roman"/>
          <w:color w:val="000000"/>
          <w:sz w:val="30"/>
          <w:szCs w:val="30"/>
        </w:rPr>
      </w:pPr>
      <w:r>
        <w:rPr>
          <w:rFonts w:hint="eastAsia" w:ascii="MS Serif" w:hAnsi="MS Serif" w:eastAsia="仿宋_GB2312" w:cs="Times New Roman"/>
          <w:color w:val="000000"/>
          <w:sz w:val="30"/>
          <w:szCs w:val="30"/>
        </w:rPr>
        <w:t>2、本单位202</w:t>
      </w:r>
      <w:r>
        <w:rPr>
          <w:rFonts w:hint="eastAsia" w:ascii="MS Serif" w:hAnsi="MS Serif" w:eastAsia="仿宋_GB2312" w:cs="Times New Roman"/>
          <w:color w:val="000000"/>
          <w:sz w:val="30"/>
          <w:szCs w:val="30"/>
          <w:lang w:val="en-US" w:eastAsia="zh-CN"/>
        </w:rPr>
        <w:t>5</w:t>
      </w:r>
      <w:r>
        <w:rPr>
          <w:rFonts w:hint="eastAsia" w:ascii="MS Serif" w:hAnsi="MS Serif" w:eastAsia="仿宋_GB2312" w:cs="Times New Roman"/>
          <w:color w:val="000000"/>
          <w:sz w:val="30"/>
          <w:szCs w:val="30"/>
        </w:rPr>
        <w:t>年财政拨款一般公共预算“三公”经费支出预算表为空表。</w:t>
      </w:r>
    </w:p>
    <w:p>
      <w:pPr>
        <w:spacing w:line="580" w:lineRule="exact"/>
        <w:ind w:firstLine="600" w:firstLineChars="20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>3、</w:t>
      </w:r>
      <w:r>
        <w:rPr>
          <w:rFonts w:hint="eastAsia" w:eastAsia="仿宋_GB2312"/>
          <w:color w:val="000000"/>
          <w:sz w:val="30"/>
          <w:szCs w:val="30"/>
        </w:rPr>
        <w:t>本单位202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eastAsia="仿宋_GB2312"/>
          <w:color w:val="000000"/>
          <w:sz w:val="30"/>
          <w:szCs w:val="30"/>
        </w:rPr>
        <w:t>年财政拨款政府性基金预算支出预算表为空表。</w:t>
      </w:r>
    </w:p>
    <w:p>
      <w:pPr>
        <w:spacing w:line="580" w:lineRule="exact"/>
        <w:ind w:firstLine="600" w:firstLineChars="20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4、本单位202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eastAsia="仿宋_GB2312"/>
          <w:color w:val="000000"/>
          <w:sz w:val="30"/>
          <w:szCs w:val="30"/>
        </w:rPr>
        <w:t>年国有资本经营预算支出表为空表。</w:t>
      </w: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DejaVu Math TeX Gyre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27564DC"/>
    <w:multiLevelType w:val="singleLevel"/>
    <w:tmpl w:val="727564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7"/>
    <w:rsid w:val="0001204D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38DE"/>
    <w:rsid w:val="00066DA5"/>
    <w:rsid w:val="00081133"/>
    <w:rsid w:val="00082771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A77B0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0FFE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8521D"/>
    <w:rsid w:val="00795DC2"/>
    <w:rsid w:val="007A5596"/>
    <w:rsid w:val="007B750A"/>
    <w:rsid w:val="007C0CD1"/>
    <w:rsid w:val="007C220B"/>
    <w:rsid w:val="007C257B"/>
    <w:rsid w:val="007C27C2"/>
    <w:rsid w:val="007C4FF4"/>
    <w:rsid w:val="007C5704"/>
    <w:rsid w:val="007E011D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771C"/>
    <w:rsid w:val="00B66FA2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2A42F06"/>
    <w:rsid w:val="03E56DE9"/>
    <w:rsid w:val="04044516"/>
    <w:rsid w:val="04491672"/>
    <w:rsid w:val="049D5915"/>
    <w:rsid w:val="088C3760"/>
    <w:rsid w:val="0C4C0F18"/>
    <w:rsid w:val="0C594818"/>
    <w:rsid w:val="10EA1EE2"/>
    <w:rsid w:val="131B0696"/>
    <w:rsid w:val="13A04ADA"/>
    <w:rsid w:val="14B720DC"/>
    <w:rsid w:val="15F95CAE"/>
    <w:rsid w:val="18872FBE"/>
    <w:rsid w:val="1D681DEC"/>
    <w:rsid w:val="1E90231B"/>
    <w:rsid w:val="1FEF16F3"/>
    <w:rsid w:val="201B7D63"/>
    <w:rsid w:val="22E63B6F"/>
    <w:rsid w:val="268758BC"/>
    <w:rsid w:val="273C2970"/>
    <w:rsid w:val="27B877FD"/>
    <w:rsid w:val="27C546B8"/>
    <w:rsid w:val="28B27332"/>
    <w:rsid w:val="2A97058D"/>
    <w:rsid w:val="2B41357D"/>
    <w:rsid w:val="2D8F7C42"/>
    <w:rsid w:val="2DDD4FB2"/>
    <w:rsid w:val="2F17393F"/>
    <w:rsid w:val="3557428F"/>
    <w:rsid w:val="360B77A4"/>
    <w:rsid w:val="367C561D"/>
    <w:rsid w:val="369C6D25"/>
    <w:rsid w:val="3D211F38"/>
    <w:rsid w:val="3D2C725B"/>
    <w:rsid w:val="3D407E3C"/>
    <w:rsid w:val="3FCB28EB"/>
    <w:rsid w:val="40956B0D"/>
    <w:rsid w:val="47C337F0"/>
    <w:rsid w:val="4A6742E4"/>
    <w:rsid w:val="4B942568"/>
    <w:rsid w:val="4E1E02D7"/>
    <w:rsid w:val="4EB270FD"/>
    <w:rsid w:val="4F204931"/>
    <w:rsid w:val="51735001"/>
    <w:rsid w:val="536062F9"/>
    <w:rsid w:val="552C47D7"/>
    <w:rsid w:val="558419F7"/>
    <w:rsid w:val="58725581"/>
    <w:rsid w:val="5AD3266C"/>
    <w:rsid w:val="5CD252D1"/>
    <w:rsid w:val="62F45876"/>
    <w:rsid w:val="68D0468F"/>
    <w:rsid w:val="693A5856"/>
    <w:rsid w:val="69774B9C"/>
    <w:rsid w:val="6A2D5246"/>
    <w:rsid w:val="6E2434B3"/>
    <w:rsid w:val="6F614293"/>
    <w:rsid w:val="70A9568C"/>
    <w:rsid w:val="70F853E2"/>
    <w:rsid w:val="73A82400"/>
    <w:rsid w:val="748F20DD"/>
    <w:rsid w:val="761E2D26"/>
    <w:rsid w:val="774B3CC1"/>
    <w:rsid w:val="77DE5881"/>
    <w:rsid w:val="77EFDD89"/>
    <w:rsid w:val="7ECE503D"/>
    <w:rsid w:val="B5F5FA6D"/>
    <w:rsid w:val="BDEB7FB1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5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9">
    <w:name w:val="Normal (Web)"/>
    <w:qFormat/>
    <w:uiPriority w:val="0"/>
    <w:pPr>
      <w:widowControl w:val="0"/>
      <w:adjustRightInd w:val="0"/>
      <w:spacing w:before="100" w:beforeAutospacing="1" w:after="100" w:afterAutospacing="1" w:line="360" w:lineRule="atLeast"/>
      <w:ind w:left="0" w:right="0"/>
      <w:jc w:val="left"/>
      <w:textAlignment w:val="baseline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12">
    <w:name w:val="page number"/>
    <w:uiPriority w:val="0"/>
  </w:style>
  <w:style w:type="character" w:customStyle="1" w:styleId="13">
    <w:name w:val="标题 1 Char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Char"/>
    <w:link w:val="3"/>
    <w:uiPriority w:val="9"/>
    <w:rPr>
      <w:rFonts w:ascii="Cambria" w:hAnsi="Cambria"/>
      <w:b/>
      <w:bCs/>
      <w:sz w:val="32"/>
      <w:szCs w:val="32"/>
    </w:rPr>
  </w:style>
  <w:style w:type="character" w:customStyle="1" w:styleId="15">
    <w:name w:val="批注框文本 Char"/>
    <w:link w:val="5"/>
    <w:uiPriority w:val="0"/>
    <w:rPr>
      <w:sz w:val="18"/>
      <w:szCs w:val="18"/>
    </w:rPr>
  </w:style>
  <w:style w:type="character" w:customStyle="1" w:styleId="16">
    <w:name w:val="页脚 Char"/>
    <w:link w:val="6"/>
    <w:uiPriority w:val="99"/>
    <w:rPr>
      <w:sz w:val="18"/>
      <w:szCs w:val="18"/>
    </w:rPr>
  </w:style>
  <w:style w:type="paragraph" w:customStyle="1" w:styleId="17">
    <w:name w:val="Char Char"/>
    <w:basedOn w:val="4"/>
    <w:uiPriority w:val="0"/>
    <w:pPr>
      <w:adjustRightInd/>
      <w:spacing w:line="240" w:lineRule="auto"/>
      <w:jc w:val="both"/>
      <w:textAlignment w:val="auto"/>
    </w:pPr>
  </w:style>
  <w:style w:type="paragraph" w:styleId="18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3222</Words>
  <Characters>3640</Characters>
  <Lines>34</Lines>
  <Paragraphs>9</Paragraphs>
  <TotalTime>16</TotalTime>
  <ScaleCrop>false</ScaleCrop>
  <LinksUpToDate>false</LinksUpToDate>
  <CharactersWithSpaces>3869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2024-02-24T01:39:00Z</dcterms:created>
  <dc:creator>朱春礼</dc:creator>
  <cp:lastModifiedBy> </cp:lastModifiedBy>
  <cp:lastPrinted>2025-02-06T22:42:00Z</cp:lastPrinted>
  <dcterms:modified xsi:type="dcterms:W3CDTF">2025-02-20T15:18:29Z</dcterms:modified>
  <dc:title>附件1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407959D1110781A745D7B66707C16566</vt:lpwstr>
  </property>
  <property fmtid="{D5CDD505-2E9C-101B-9397-08002B2CF9AE}" pid="4" name="KSOTemplateDocerSaveRecord">
    <vt:lpwstr>eyJoZGlkIjoiNzNiOTI3ZjcyNWZlYzZkNDU5MWIzMzIyOGEzNzU5OGEiLCJ1c2VySWQiOiIxMTYwMjQwNzc3In0=</vt:lpwstr>
  </property>
</Properties>
</file>