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61" w:rsidRDefault="00EF6661">
      <w:pPr>
        <w:snapToGrid/>
        <w:spacing w:line="620" w:lineRule="exact"/>
        <w:contextualSpacing/>
        <w:jc w:val="center"/>
        <w:rPr>
          <w:rFonts w:asciiTheme="minorEastAsia" w:eastAsiaTheme="minorEastAsia" w:hAnsiTheme="minorEastAsia"/>
          <w:sz w:val="48"/>
          <w:szCs w:val="48"/>
        </w:rPr>
      </w:pPr>
    </w:p>
    <w:p w:rsidR="00EF6661" w:rsidRDefault="00EF6661">
      <w:pPr>
        <w:snapToGrid/>
        <w:spacing w:line="620" w:lineRule="exact"/>
        <w:contextualSpacing/>
        <w:jc w:val="center"/>
        <w:rPr>
          <w:rFonts w:asciiTheme="minorEastAsia" w:eastAsiaTheme="minorEastAsia" w:hAnsiTheme="minorEastAsia"/>
          <w:sz w:val="48"/>
          <w:szCs w:val="48"/>
        </w:rPr>
      </w:pPr>
    </w:p>
    <w:p w:rsidR="00EF6661" w:rsidRDefault="00EF6661">
      <w:pPr>
        <w:pStyle w:val="2"/>
        <w:ind w:left="440"/>
      </w:pPr>
    </w:p>
    <w:p w:rsidR="00EF6661" w:rsidRDefault="00EF6661">
      <w:pPr>
        <w:snapToGrid/>
        <w:spacing w:line="620" w:lineRule="exact"/>
        <w:contextualSpacing/>
        <w:jc w:val="center"/>
        <w:rPr>
          <w:rFonts w:asciiTheme="minorEastAsia" w:eastAsiaTheme="minorEastAsia" w:hAnsiTheme="minorEastAsia"/>
          <w:sz w:val="48"/>
          <w:szCs w:val="48"/>
        </w:rPr>
      </w:pPr>
    </w:p>
    <w:p w:rsidR="00EF6661" w:rsidRDefault="00E25C2C">
      <w:pPr>
        <w:snapToGrid/>
        <w:spacing w:after="0" w:line="72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环球中通（天津）供应链管理有限公司</w:t>
      </w:r>
    </w:p>
    <w:p w:rsidR="00EF6661" w:rsidRDefault="00E25C2C">
      <w:pPr>
        <w:snapToGrid/>
        <w:spacing w:after="0" w:line="72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“5</w:t>
      </w:r>
      <w:r>
        <w:rPr>
          <w:rFonts w:ascii="宋体" w:eastAsia="宋体" w:hAnsi="宋体" w:cs="宋体" w:hint="eastAsia"/>
          <w:bCs/>
          <w:sz w:val="44"/>
          <w:szCs w:val="44"/>
        </w:rPr>
        <w:t>•</w:t>
      </w:r>
      <w:r>
        <w:rPr>
          <w:rFonts w:ascii="方正小标宋简体" w:eastAsia="方正小标宋简体" w:hAnsi="方正小标宋简体" w:cs="方正小标宋简体" w:hint="eastAsia"/>
          <w:bCs/>
          <w:sz w:val="44"/>
          <w:szCs w:val="44"/>
        </w:rPr>
        <w:t xml:space="preserve"> 16”一般叉车倾覆相关事故调查报告</w:t>
      </w:r>
    </w:p>
    <w:p w:rsidR="00EF6661" w:rsidRDefault="00EF6661">
      <w:pPr>
        <w:snapToGrid/>
        <w:spacing w:line="620" w:lineRule="exact"/>
        <w:contextualSpacing/>
        <w:jc w:val="center"/>
        <w:rPr>
          <w:rFonts w:ascii="方正小标宋简体" w:eastAsia="方正小标宋简体" w:hAnsi="方正小标宋简体" w:cs="方正小标宋简体"/>
          <w:sz w:val="44"/>
          <w:szCs w:val="44"/>
        </w:rPr>
      </w:pPr>
    </w:p>
    <w:p w:rsidR="00EF6661" w:rsidRDefault="00EF6661">
      <w:pPr>
        <w:snapToGrid/>
        <w:spacing w:line="620" w:lineRule="exact"/>
        <w:contextualSpacing/>
        <w:jc w:val="center"/>
        <w:rPr>
          <w:rFonts w:ascii="方正小标宋简体" w:eastAsia="方正小标宋简体" w:hAnsi="方正小标宋简体" w:cs="方正小标宋简体"/>
          <w:sz w:val="44"/>
          <w:szCs w:val="44"/>
        </w:rPr>
      </w:pPr>
    </w:p>
    <w:p w:rsidR="00EF6661" w:rsidRDefault="00EF6661">
      <w:pPr>
        <w:snapToGrid/>
        <w:spacing w:line="620" w:lineRule="exact"/>
        <w:contextualSpacing/>
        <w:jc w:val="center"/>
        <w:rPr>
          <w:rFonts w:ascii="方正小标宋简体" w:eastAsia="方正小标宋简体" w:hAnsi="方正小标宋简体" w:cs="方正小标宋简体"/>
          <w:sz w:val="44"/>
          <w:szCs w:val="44"/>
        </w:rPr>
      </w:pPr>
    </w:p>
    <w:p w:rsidR="00EF6661" w:rsidRDefault="00EF6661">
      <w:pPr>
        <w:snapToGrid/>
        <w:spacing w:line="620" w:lineRule="exact"/>
        <w:contextualSpacing/>
        <w:jc w:val="center"/>
        <w:rPr>
          <w:rFonts w:ascii="方正小标宋简体" w:eastAsia="方正小标宋简体" w:hAnsi="方正小标宋简体" w:cs="方正小标宋简体"/>
          <w:sz w:val="44"/>
          <w:szCs w:val="44"/>
        </w:rPr>
      </w:pPr>
    </w:p>
    <w:p w:rsidR="00EF6661" w:rsidRDefault="00EF6661">
      <w:pPr>
        <w:snapToGrid/>
        <w:spacing w:line="620" w:lineRule="exact"/>
        <w:contextualSpacing/>
        <w:jc w:val="both"/>
        <w:rPr>
          <w:rFonts w:ascii="方正小标宋简体" w:eastAsia="方正小标宋简体" w:hAnsi="方正小标宋简体" w:cs="方正小标宋简体"/>
          <w:sz w:val="44"/>
          <w:szCs w:val="44"/>
        </w:rPr>
      </w:pPr>
    </w:p>
    <w:p w:rsidR="00EF6661" w:rsidRDefault="00EF6661">
      <w:pPr>
        <w:pStyle w:val="2"/>
        <w:ind w:left="440"/>
      </w:pPr>
    </w:p>
    <w:p w:rsidR="00EF6661" w:rsidRDefault="00EF6661">
      <w:pPr>
        <w:pStyle w:val="2"/>
        <w:ind w:left="440"/>
      </w:pPr>
    </w:p>
    <w:p w:rsidR="00EF6661" w:rsidRDefault="00EF6661">
      <w:pPr>
        <w:snapToGrid/>
        <w:spacing w:line="620" w:lineRule="exact"/>
        <w:contextualSpacing/>
        <w:jc w:val="center"/>
        <w:rPr>
          <w:rFonts w:ascii="方正小标宋简体" w:eastAsia="方正小标宋简体" w:hAnsi="方正小标宋简体" w:cs="方正小标宋简体"/>
          <w:sz w:val="24"/>
          <w:szCs w:val="24"/>
        </w:rPr>
      </w:pPr>
    </w:p>
    <w:p w:rsidR="00EF6661" w:rsidRDefault="00E25C2C">
      <w:pPr>
        <w:widowControl w:val="0"/>
        <w:adjustRightInd/>
        <w:snapToGrid/>
        <w:spacing w:line="560" w:lineRule="exact"/>
        <w:contextualSpacing/>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环球中通（天津）供应链管理有限公司</w:t>
      </w:r>
    </w:p>
    <w:p w:rsidR="00EF6661" w:rsidRDefault="00E25C2C">
      <w:pPr>
        <w:widowControl w:val="0"/>
        <w:adjustRightInd/>
        <w:snapToGrid/>
        <w:spacing w:line="560" w:lineRule="exact"/>
        <w:contextualSpacing/>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宋体" w:eastAsia="宋体" w:hAnsi="宋体" w:cs="宋体" w:hint="eastAsia"/>
          <w:sz w:val="32"/>
          <w:szCs w:val="32"/>
          <w:shd w:val="clear" w:color="auto" w:fill="FFFFFF"/>
        </w:rPr>
        <w:t>•1</w:t>
      </w:r>
      <w:r>
        <w:rPr>
          <w:rFonts w:ascii="仿宋_GB2312" w:eastAsia="仿宋_GB2312" w:hAnsi="仿宋_GB2312" w:cs="仿宋_GB2312" w:hint="eastAsia"/>
          <w:sz w:val="32"/>
          <w:szCs w:val="32"/>
          <w:shd w:val="clear" w:color="auto" w:fill="FFFFFF"/>
        </w:rPr>
        <w:t>6”一般叉车倾覆相关事故调查组</w:t>
      </w:r>
    </w:p>
    <w:p w:rsidR="00EF6661" w:rsidRDefault="00E25C2C">
      <w:pPr>
        <w:widowControl w:val="0"/>
        <w:adjustRightInd/>
        <w:snapToGrid/>
        <w:spacing w:line="560" w:lineRule="exact"/>
        <w:contextualSpacing/>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2024年7月</w:t>
      </w:r>
    </w:p>
    <w:p w:rsidR="00EF6661" w:rsidRDefault="00EF6661">
      <w:pPr>
        <w:snapToGrid/>
        <w:spacing w:line="620" w:lineRule="exact"/>
        <w:contextualSpacing/>
        <w:jc w:val="center"/>
        <w:rPr>
          <w:rFonts w:ascii="方正小标宋简体" w:eastAsia="方正小标宋简体" w:hAnsi="方正小标宋简体" w:cs="方正小标宋简体"/>
          <w:sz w:val="44"/>
          <w:szCs w:val="44"/>
        </w:rPr>
        <w:sectPr w:rsidR="00EF6661">
          <w:pgSz w:w="11906" w:h="16838"/>
          <w:pgMar w:top="1440" w:right="1800" w:bottom="1440" w:left="1800" w:header="708" w:footer="708" w:gutter="0"/>
          <w:cols w:space="708"/>
          <w:docGrid w:type="lines" w:linePitch="360"/>
        </w:sectPr>
      </w:pPr>
    </w:p>
    <w:p w:rsidR="00EF6661" w:rsidRDefault="00E25C2C">
      <w:pPr>
        <w:pStyle w:val="WPSOffice1"/>
        <w:tabs>
          <w:tab w:val="right" w:leader="dot" w:pos="8306"/>
        </w:tabs>
        <w:adjustRightInd w:val="0"/>
        <w:spacing w:line="620" w:lineRule="exact"/>
        <w:contextualSpacing/>
        <w:jc w:val="center"/>
        <w:rPr>
          <w:rFonts w:ascii="黑体" w:eastAsia="黑体" w:hAnsi="黑体" w:cs="黑体"/>
          <w:sz w:val="36"/>
          <w:szCs w:val="36"/>
        </w:rPr>
      </w:pPr>
      <w:bookmarkStart w:id="0" w:name="_Toc10968"/>
      <w:bookmarkStart w:id="1" w:name="_Toc29523"/>
      <w:bookmarkStart w:id="2" w:name="_Toc6810"/>
      <w:bookmarkStart w:id="3" w:name="_Toc11771"/>
      <w:bookmarkStart w:id="4" w:name="_Toc20270"/>
      <w:bookmarkStart w:id="5" w:name="_Toc5311_WPSOffice_Type1"/>
      <w:r>
        <w:rPr>
          <w:rFonts w:ascii="黑体" w:eastAsia="黑体" w:hAnsi="黑体" w:cs="黑体" w:hint="eastAsia"/>
          <w:sz w:val="36"/>
          <w:szCs w:val="36"/>
        </w:rPr>
        <w:lastRenderedPageBreak/>
        <w:t>目录</w:t>
      </w:r>
      <w:bookmarkEnd w:id="0"/>
      <w:bookmarkEnd w:id="1"/>
      <w:bookmarkEnd w:id="2"/>
      <w:bookmarkEnd w:id="3"/>
      <w:bookmarkEnd w:id="4"/>
    </w:p>
    <w:p w:rsidR="00EF6661" w:rsidRDefault="00EF6661">
      <w:pPr>
        <w:pStyle w:val="WPSOffice1"/>
        <w:tabs>
          <w:tab w:val="right" w:leader="dot" w:pos="8306"/>
        </w:tabs>
        <w:adjustRightInd w:val="0"/>
        <w:spacing w:line="620" w:lineRule="exact"/>
        <w:contextualSpacing/>
        <w:jc w:val="center"/>
        <w:rPr>
          <w:rFonts w:ascii="黑体" w:eastAsia="黑体" w:hAnsi="黑体" w:cs="黑体"/>
          <w:sz w:val="36"/>
          <w:szCs w:val="36"/>
        </w:rPr>
      </w:pPr>
    </w:p>
    <w:bookmarkStart w:id="6" w:name="_Toc3186_WPSOffice_Level1"/>
    <w:bookmarkEnd w:id="5"/>
    <w:p w:rsidR="00EF6661" w:rsidRDefault="00FB7728">
      <w:pPr>
        <w:pStyle w:val="10"/>
        <w:tabs>
          <w:tab w:val="right" w:leader="dot" w:pos="8306"/>
        </w:tabs>
        <w:spacing w:after="0" w:line="500" w:lineRule="exact"/>
        <w:rPr>
          <w:rFonts w:ascii="Times New Roman" w:hAnsi="Times New Roman" w:cs="Times New Roman"/>
          <w:sz w:val="24"/>
          <w:szCs w:val="24"/>
        </w:rPr>
      </w:pPr>
      <w:r w:rsidRPr="00FB7728">
        <w:rPr>
          <w:rFonts w:ascii="Times New Roman" w:eastAsiaTheme="minorEastAsia" w:hAnsi="Times New Roman" w:cs="Times New Roman"/>
          <w:b/>
          <w:sz w:val="32"/>
          <w:szCs w:val="32"/>
        </w:rPr>
        <w:fldChar w:fldCharType="begin"/>
      </w:r>
      <w:r w:rsidR="00E25C2C">
        <w:rPr>
          <w:rFonts w:ascii="Times New Roman" w:eastAsiaTheme="minorEastAsia" w:hAnsi="Times New Roman" w:cs="Times New Roman"/>
          <w:b/>
          <w:sz w:val="32"/>
          <w:szCs w:val="32"/>
        </w:rPr>
        <w:instrText xml:space="preserve"> TOC \o "1-3" \h \z \u </w:instrText>
      </w:r>
      <w:r w:rsidRPr="00FB7728">
        <w:rPr>
          <w:rFonts w:ascii="Times New Roman" w:eastAsiaTheme="minorEastAsia" w:hAnsi="Times New Roman" w:cs="Times New Roman"/>
          <w:b/>
          <w:sz w:val="32"/>
          <w:szCs w:val="32"/>
        </w:rPr>
        <w:fldChar w:fldCharType="separate"/>
      </w:r>
      <w:hyperlink w:anchor="_Toc31084" w:history="1">
        <w:r w:rsidR="00E25C2C">
          <w:rPr>
            <w:rFonts w:ascii="Times New Roman" w:eastAsia="黑体" w:hAnsi="Times New Roman" w:cs="Times New Roman"/>
            <w:sz w:val="24"/>
            <w:szCs w:val="24"/>
          </w:rPr>
          <w:t>一、事故基本情况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_Toc31084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2</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17344" w:history="1">
        <w:r w:rsidR="00E25C2C">
          <w:rPr>
            <w:rFonts w:ascii="Times New Roman" w:eastAsia="楷体_GB2312" w:hAnsi="Times New Roman" w:cs="Times New Roman"/>
            <w:sz w:val="24"/>
            <w:szCs w:val="24"/>
          </w:rPr>
          <w:t>（一）事故单位及相关单位情况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_Toc17344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2</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6026" w:history="1">
        <w:r w:rsidR="00E25C2C">
          <w:rPr>
            <w:rFonts w:ascii="Times New Roman" w:eastAsia="楷体_GB2312" w:hAnsi="Times New Roman" w:cs="Times New Roman"/>
            <w:sz w:val="24"/>
            <w:szCs w:val="24"/>
          </w:rPr>
          <w:t>（二）涉事设备及相关人员情况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_Toc26026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2</w:t>
        </w:r>
        <w:r>
          <w:rPr>
            <w:rFonts w:ascii="Times New Roman" w:hAnsi="Times New Roman" w:cs="Times New Roman"/>
            <w:sz w:val="24"/>
            <w:szCs w:val="24"/>
          </w:rPr>
          <w:fldChar w:fldCharType="end"/>
        </w:r>
      </w:hyperlink>
    </w:p>
    <w:p w:rsidR="00EF6661" w:rsidRDefault="00FB7728">
      <w:pPr>
        <w:pStyle w:val="10"/>
        <w:tabs>
          <w:tab w:val="right" w:leader="dot" w:pos="8306"/>
        </w:tabs>
        <w:spacing w:after="0" w:line="500" w:lineRule="exact"/>
        <w:rPr>
          <w:rFonts w:ascii="Times New Roman" w:hAnsi="Times New Roman" w:cs="Times New Roman"/>
          <w:sz w:val="24"/>
          <w:szCs w:val="24"/>
        </w:rPr>
      </w:pPr>
      <w:hyperlink w:anchor="_Toc8106" w:history="1">
        <w:r w:rsidR="00E25C2C">
          <w:rPr>
            <w:rFonts w:ascii="Times New Roman" w:eastAsia="黑体" w:hAnsi="Times New Roman" w:cs="Times New Roman"/>
            <w:sz w:val="24"/>
            <w:szCs w:val="24"/>
          </w:rPr>
          <w:t>二、事故发生过程、应急处置及善后赔偿情况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_Toc8106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7423" w:history="1">
        <w:r w:rsidR="00E25C2C">
          <w:rPr>
            <w:rFonts w:ascii="Times New Roman" w:eastAsia="楷体_GB2312" w:hAnsi="Times New Roman" w:cs="Times New Roman"/>
            <w:sz w:val="24"/>
            <w:szCs w:val="24"/>
          </w:rPr>
          <w:t>（一）事故发生过程</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_Toc27423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1074" w:history="1">
        <w:r w:rsidR="00E25C2C">
          <w:rPr>
            <w:rFonts w:ascii="Times New Roman" w:eastAsia="楷体_GB2312" w:hAnsi="Times New Roman" w:cs="Times New Roman"/>
            <w:sz w:val="24"/>
            <w:szCs w:val="24"/>
          </w:rPr>
          <w:t>（二）应急处置情况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_Toc21074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4114" w:history="1">
        <w:r w:rsidR="00E25C2C">
          <w:rPr>
            <w:rFonts w:ascii="Times New Roman" w:eastAsia="楷体_GB2312" w:hAnsi="Times New Roman" w:cs="Times New Roman"/>
            <w:sz w:val="24"/>
            <w:szCs w:val="24"/>
          </w:rPr>
          <w:t>（三）善后赔偿情况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_Toc24114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4</w:t>
        </w:r>
        <w:r>
          <w:rPr>
            <w:rFonts w:ascii="Times New Roman" w:hAnsi="Times New Roman" w:cs="Times New Roman"/>
            <w:sz w:val="24"/>
            <w:szCs w:val="24"/>
          </w:rPr>
          <w:fldChar w:fldCharType="end"/>
        </w:r>
      </w:hyperlink>
    </w:p>
    <w:p w:rsidR="00EF6661" w:rsidRDefault="00FB7728">
      <w:pPr>
        <w:pStyle w:val="10"/>
        <w:tabs>
          <w:tab w:val="right" w:leader="dot" w:pos="8306"/>
        </w:tabs>
        <w:spacing w:after="0" w:line="500" w:lineRule="exact"/>
        <w:rPr>
          <w:rFonts w:ascii="Times New Roman" w:hAnsi="Times New Roman" w:cs="Times New Roman"/>
          <w:sz w:val="24"/>
          <w:szCs w:val="24"/>
        </w:rPr>
      </w:pPr>
      <w:hyperlink w:anchor="_Toc23443" w:history="1">
        <w:r w:rsidR="00E25C2C">
          <w:rPr>
            <w:rFonts w:ascii="Times New Roman" w:eastAsia="黑体" w:hAnsi="Times New Roman" w:cs="Times New Roman"/>
            <w:sz w:val="24"/>
            <w:szCs w:val="24"/>
          </w:rPr>
          <w:t>三、人员伤亡及直接经济损失</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_Toc23443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4</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4130" w:history="1">
        <w:r w:rsidR="00E25C2C">
          <w:rPr>
            <w:rFonts w:ascii="Times New Roman" w:eastAsia="楷体_GB2312" w:hAnsi="Times New Roman" w:cs="Times New Roman"/>
            <w:sz w:val="24"/>
            <w:szCs w:val="24"/>
          </w:rPr>
          <w:t>（一）人员伤亡情况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_Toc4130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4</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32085" w:history="1">
        <w:r w:rsidR="00E25C2C">
          <w:rPr>
            <w:rFonts w:ascii="Times New Roman" w:eastAsia="楷体_GB2312" w:hAnsi="Times New Roman" w:cs="Times New Roman"/>
            <w:sz w:val="24"/>
            <w:szCs w:val="24"/>
          </w:rPr>
          <w:t>（二）直接经济损失</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_Toc32085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4</w:t>
        </w:r>
        <w:r>
          <w:rPr>
            <w:rFonts w:ascii="Times New Roman" w:hAnsi="Times New Roman" w:cs="Times New Roman"/>
            <w:sz w:val="24"/>
            <w:szCs w:val="24"/>
          </w:rPr>
          <w:fldChar w:fldCharType="end"/>
        </w:r>
      </w:hyperlink>
    </w:p>
    <w:p w:rsidR="00EF6661" w:rsidRDefault="00FB7728">
      <w:pPr>
        <w:pStyle w:val="10"/>
        <w:tabs>
          <w:tab w:val="right" w:leader="dot" w:pos="8306"/>
        </w:tabs>
        <w:spacing w:after="0" w:line="500" w:lineRule="exact"/>
        <w:rPr>
          <w:rFonts w:ascii="Times New Roman" w:hAnsi="Times New Roman" w:cs="Times New Roman"/>
          <w:sz w:val="24"/>
          <w:szCs w:val="24"/>
        </w:rPr>
      </w:pPr>
      <w:hyperlink w:anchor="_Toc8774" w:history="1">
        <w:r w:rsidR="00E25C2C">
          <w:rPr>
            <w:rFonts w:ascii="Times New Roman" w:eastAsia="黑体" w:hAnsi="Times New Roman" w:cs="Times New Roman"/>
            <w:sz w:val="24"/>
            <w:szCs w:val="24"/>
          </w:rPr>
          <w:t>四、事故原因及性质</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_Toc8774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5</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1602" w:history="1">
        <w:r w:rsidR="00E25C2C">
          <w:rPr>
            <w:rFonts w:ascii="Times New Roman" w:eastAsia="楷体_GB2312" w:hAnsi="Times New Roman" w:cs="Times New Roman"/>
            <w:sz w:val="24"/>
            <w:szCs w:val="24"/>
          </w:rPr>
          <w:t>（一）直接原因</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_Toc1602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5</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2676" w:history="1">
        <w:r w:rsidR="00E25C2C">
          <w:rPr>
            <w:rFonts w:ascii="Times New Roman" w:eastAsia="楷体_GB2312" w:hAnsi="Times New Roman" w:cs="Times New Roman"/>
            <w:sz w:val="24"/>
            <w:szCs w:val="24"/>
          </w:rPr>
          <w:t>（二）间接原因</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_Toc22676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5</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eastAsia="楷体_GB2312" w:hAnsi="Times New Roman" w:cs="Times New Roman"/>
          <w:sz w:val="24"/>
          <w:szCs w:val="24"/>
        </w:rPr>
      </w:pPr>
      <w:r w:rsidRPr="00FB7728">
        <w:fldChar w:fldCharType="begin"/>
      </w:r>
      <w:r w:rsidR="00E25C2C">
        <w:instrText xml:space="preserve"> HYPERLINK \l "_Toc17083"</w:instrText>
      </w:r>
      <w:r w:rsidRPr="00FB7728">
        <w:fldChar w:fldCharType="separate"/>
      </w:r>
      <w:r w:rsidR="00E25C2C">
        <w:rPr>
          <w:rFonts w:ascii="Times New Roman" w:eastAsia="楷体_GB2312" w:hAnsi="Times New Roman" w:cs="Times New Roman"/>
          <w:sz w:val="24"/>
          <w:szCs w:val="24"/>
        </w:rPr>
        <w:t>（三）</w:t>
      </w:r>
      <w:r w:rsidR="00E25C2C">
        <w:rPr>
          <w:rFonts w:ascii="Times New Roman" w:eastAsia="楷体_GB2312" w:hAnsi="Times New Roman" w:cs="Times New Roman" w:hint="eastAsia"/>
          <w:sz w:val="24"/>
          <w:szCs w:val="24"/>
        </w:rPr>
        <w:t>监管履职情况</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_Toc22676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5</w:t>
      </w:r>
      <w:r>
        <w:rPr>
          <w:rFonts w:ascii="Times New Roman" w:hAnsi="Times New Roman" w:cs="Times New Roman"/>
          <w:sz w:val="24"/>
          <w:szCs w:val="24"/>
        </w:rPr>
        <w:fldChar w:fldCharType="end"/>
      </w:r>
    </w:p>
    <w:p w:rsidR="00EF6661" w:rsidRDefault="00E25C2C">
      <w:pPr>
        <w:pStyle w:val="21"/>
        <w:tabs>
          <w:tab w:val="right" w:leader="dot" w:pos="8306"/>
        </w:tabs>
        <w:spacing w:after="0" w:line="500" w:lineRule="exact"/>
        <w:ind w:left="440"/>
        <w:rPr>
          <w:rFonts w:ascii="Times New Roman" w:hAnsi="Times New Roman" w:cs="Times New Roman"/>
          <w:sz w:val="24"/>
          <w:szCs w:val="24"/>
        </w:rPr>
      </w:pPr>
      <w:r>
        <w:rPr>
          <w:rFonts w:ascii="Times New Roman" w:eastAsia="楷体_GB2312" w:hAnsi="Times New Roman" w:cs="Times New Roman" w:hint="eastAsia"/>
          <w:sz w:val="24"/>
          <w:szCs w:val="24"/>
        </w:rPr>
        <w:t>（四）</w:t>
      </w:r>
      <w:r>
        <w:rPr>
          <w:rFonts w:ascii="Times New Roman" w:eastAsia="楷体_GB2312" w:hAnsi="Times New Roman" w:cs="Times New Roman"/>
          <w:sz w:val="24"/>
          <w:szCs w:val="24"/>
        </w:rPr>
        <w:t>事故性质</w:t>
      </w:r>
      <w:r>
        <w:rPr>
          <w:rFonts w:ascii="Times New Roman" w:hAnsi="Times New Roman" w:cs="Times New Roman"/>
          <w:sz w:val="24"/>
          <w:szCs w:val="24"/>
        </w:rPr>
        <w:tab/>
      </w:r>
      <w:r w:rsidR="00FB7728">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_Toc17083 \h </w:instrText>
      </w:r>
      <w:r w:rsidR="00FB7728">
        <w:rPr>
          <w:rFonts w:ascii="Times New Roman" w:hAnsi="Times New Roman" w:cs="Times New Roman"/>
          <w:sz w:val="24"/>
          <w:szCs w:val="24"/>
        </w:rPr>
      </w:r>
      <w:r w:rsidR="00FB7728">
        <w:rPr>
          <w:rFonts w:ascii="Times New Roman" w:hAnsi="Times New Roman" w:cs="Times New Roman"/>
          <w:sz w:val="24"/>
          <w:szCs w:val="24"/>
        </w:rPr>
        <w:fldChar w:fldCharType="separate"/>
      </w:r>
      <w:r w:rsidR="000718A2">
        <w:rPr>
          <w:rFonts w:ascii="Times New Roman" w:hAnsi="Times New Roman" w:cs="Times New Roman"/>
          <w:noProof/>
          <w:sz w:val="24"/>
          <w:szCs w:val="24"/>
        </w:rPr>
        <w:t>7</w:t>
      </w:r>
      <w:r w:rsidR="00FB7728">
        <w:rPr>
          <w:rFonts w:ascii="Times New Roman" w:hAnsi="Times New Roman" w:cs="Times New Roman"/>
          <w:sz w:val="24"/>
          <w:szCs w:val="24"/>
        </w:rPr>
        <w:fldChar w:fldCharType="end"/>
      </w:r>
      <w:r w:rsidR="00FB7728">
        <w:rPr>
          <w:rFonts w:ascii="Times New Roman" w:hAnsi="Times New Roman" w:cs="Times New Roman"/>
          <w:sz w:val="24"/>
          <w:szCs w:val="24"/>
        </w:rPr>
        <w:fldChar w:fldCharType="end"/>
      </w:r>
    </w:p>
    <w:p w:rsidR="00EF6661" w:rsidRDefault="00FB7728">
      <w:pPr>
        <w:pStyle w:val="10"/>
        <w:tabs>
          <w:tab w:val="right" w:leader="dot" w:pos="8306"/>
        </w:tabs>
        <w:spacing w:after="0" w:line="500" w:lineRule="exact"/>
        <w:rPr>
          <w:rFonts w:ascii="Times New Roman" w:hAnsi="Times New Roman" w:cs="Times New Roman"/>
          <w:sz w:val="24"/>
          <w:szCs w:val="24"/>
        </w:rPr>
      </w:pPr>
      <w:hyperlink w:anchor="_Toc3359" w:history="1">
        <w:r w:rsidR="00E25C2C">
          <w:rPr>
            <w:rFonts w:ascii="Times New Roman" w:eastAsia="黑体" w:hAnsi="Times New Roman" w:cs="Times New Roman"/>
            <w:sz w:val="24"/>
            <w:szCs w:val="24"/>
          </w:rPr>
          <w:t>五、责任认定及处理建议</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_Toc3359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7</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20187" w:history="1">
        <w:r w:rsidR="00E25C2C">
          <w:rPr>
            <w:rFonts w:ascii="Times New Roman" w:eastAsia="楷体_GB2312" w:hAnsi="Times New Roman" w:cs="Times New Roman"/>
            <w:sz w:val="24"/>
            <w:szCs w:val="24"/>
          </w:rPr>
          <w:t>（一）事故责任单位的责任认定及处理建议</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_Toc20187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7</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13472" w:history="1">
        <w:r w:rsidR="00E25C2C">
          <w:rPr>
            <w:rFonts w:ascii="Times New Roman" w:eastAsia="楷体_GB2312" w:hAnsi="Times New Roman" w:cs="Times New Roman"/>
            <w:sz w:val="24"/>
            <w:szCs w:val="24"/>
          </w:rPr>
          <w:t>（二）事故责任人员的责任认定及处理建议</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_Toc13472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7</w:t>
        </w:r>
        <w:r>
          <w:rPr>
            <w:rFonts w:ascii="Times New Roman" w:hAnsi="Times New Roman" w:cs="Times New Roman"/>
            <w:sz w:val="24"/>
            <w:szCs w:val="24"/>
          </w:rPr>
          <w:fldChar w:fldCharType="end"/>
        </w:r>
      </w:hyperlink>
    </w:p>
    <w:p w:rsidR="00EF6661" w:rsidRDefault="00FB7728">
      <w:pPr>
        <w:pStyle w:val="10"/>
        <w:tabs>
          <w:tab w:val="right" w:leader="dot" w:pos="8306"/>
        </w:tabs>
        <w:spacing w:after="0" w:line="500" w:lineRule="exact"/>
        <w:rPr>
          <w:rFonts w:ascii="Times New Roman" w:hAnsi="Times New Roman" w:cs="Times New Roman"/>
          <w:sz w:val="24"/>
          <w:szCs w:val="24"/>
        </w:rPr>
      </w:pPr>
      <w:hyperlink w:anchor="_Toc6486" w:history="1">
        <w:r w:rsidR="00E25C2C">
          <w:rPr>
            <w:rFonts w:ascii="Times New Roman" w:eastAsia="黑体" w:hAnsi="Times New Roman" w:cs="Times New Roman"/>
            <w:sz w:val="24"/>
            <w:szCs w:val="24"/>
          </w:rPr>
          <w:t>六、事故防范和整改措施</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_Toc6486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8</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sz w:val="24"/>
          <w:szCs w:val="24"/>
        </w:rPr>
      </w:pPr>
      <w:hyperlink w:anchor="_Toc9299" w:history="1">
        <w:r w:rsidR="00E25C2C">
          <w:rPr>
            <w:rFonts w:ascii="Times New Roman" w:eastAsia="楷体" w:hAnsi="Times New Roman" w:cs="Times New Roman"/>
            <w:bCs/>
            <w:sz w:val="24"/>
            <w:szCs w:val="24"/>
          </w:rPr>
          <w:t>（一）环球中通公司</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_Toc9299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8</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pPr>
      <w:hyperlink w:anchor="_Toc9835" w:history="1">
        <w:r w:rsidR="00E25C2C">
          <w:rPr>
            <w:rFonts w:ascii="Times New Roman" w:eastAsia="楷体" w:hAnsi="Times New Roman" w:cs="Times New Roman"/>
            <w:bCs/>
            <w:sz w:val="24"/>
            <w:szCs w:val="24"/>
          </w:rPr>
          <w:t>（二）名富物流公司</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_Toc9835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9</w:t>
        </w:r>
        <w:r>
          <w:rPr>
            <w:rFonts w:ascii="Times New Roman" w:hAnsi="Times New Roman" w:cs="Times New Roman"/>
            <w:sz w:val="24"/>
            <w:szCs w:val="24"/>
          </w:rPr>
          <w:fldChar w:fldCharType="end"/>
        </w:r>
      </w:hyperlink>
    </w:p>
    <w:p w:rsidR="00EF6661" w:rsidRDefault="00FB7728">
      <w:pPr>
        <w:pStyle w:val="21"/>
        <w:tabs>
          <w:tab w:val="right" w:leader="dot" w:pos="8306"/>
        </w:tabs>
        <w:spacing w:after="0" w:line="500" w:lineRule="exact"/>
        <w:ind w:left="440"/>
        <w:rPr>
          <w:rFonts w:ascii="Times New Roman" w:hAnsi="Times New Roman" w:cs="Times New Roman"/>
        </w:rPr>
      </w:pPr>
      <w:hyperlink w:anchor="_Toc9835" w:history="1">
        <w:r w:rsidR="00E25C2C">
          <w:rPr>
            <w:rFonts w:ascii="Times New Roman" w:eastAsia="楷体" w:hAnsi="Times New Roman" w:cs="Times New Roman"/>
            <w:bCs/>
            <w:sz w:val="24"/>
            <w:szCs w:val="24"/>
          </w:rPr>
          <w:t>（</w:t>
        </w:r>
        <w:r w:rsidR="00E25C2C">
          <w:rPr>
            <w:rFonts w:ascii="Times New Roman" w:eastAsia="楷体" w:hAnsi="Times New Roman" w:cs="Times New Roman" w:hint="eastAsia"/>
            <w:bCs/>
            <w:sz w:val="24"/>
            <w:szCs w:val="24"/>
          </w:rPr>
          <w:t>三</w:t>
        </w:r>
        <w:r w:rsidR="00E25C2C">
          <w:rPr>
            <w:rFonts w:ascii="Times New Roman" w:eastAsia="楷体" w:hAnsi="Times New Roman" w:cs="Times New Roman"/>
            <w:bCs/>
            <w:sz w:val="24"/>
            <w:szCs w:val="24"/>
          </w:rPr>
          <w:t>）</w:t>
        </w:r>
        <w:r w:rsidR="00E25C2C">
          <w:rPr>
            <w:rFonts w:ascii="Times New Roman" w:eastAsia="楷体" w:hAnsi="Times New Roman" w:cs="Times New Roman" w:hint="eastAsia"/>
            <w:bCs/>
            <w:sz w:val="24"/>
            <w:szCs w:val="24"/>
          </w:rPr>
          <w:t>保税区市场监管局</w:t>
        </w:r>
        <w:r w:rsidR="00E25C2C">
          <w:rPr>
            <w:rFonts w:ascii="Times New Roman" w:hAnsi="Times New Roman" w:cs="Times New Roman"/>
            <w:sz w:val="24"/>
            <w:szCs w:val="24"/>
          </w:rPr>
          <w:tab/>
        </w:r>
        <w:r>
          <w:rPr>
            <w:rFonts w:ascii="Times New Roman" w:hAnsi="Times New Roman" w:cs="Times New Roman"/>
            <w:sz w:val="24"/>
            <w:szCs w:val="24"/>
          </w:rPr>
          <w:fldChar w:fldCharType="begin"/>
        </w:r>
        <w:r w:rsidR="00E25C2C">
          <w:rPr>
            <w:rFonts w:ascii="Times New Roman" w:hAnsi="Times New Roman" w:cs="Times New Roman"/>
            <w:sz w:val="24"/>
            <w:szCs w:val="24"/>
          </w:rPr>
          <w:instrText xml:space="preserve"> PAGEREF _Toc9835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18A2">
          <w:rPr>
            <w:rFonts w:ascii="Times New Roman" w:hAnsi="Times New Roman" w:cs="Times New Roman"/>
            <w:noProof/>
            <w:sz w:val="24"/>
            <w:szCs w:val="24"/>
          </w:rPr>
          <w:t>9</w:t>
        </w:r>
        <w:r>
          <w:rPr>
            <w:rFonts w:ascii="Times New Roman" w:hAnsi="Times New Roman" w:cs="Times New Roman"/>
            <w:sz w:val="24"/>
            <w:szCs w:val="24"/>
          </w:rPr>
          <w:fldChar w:fldCharType="end"/>
        </w:r>
      </w:hyperlink>
    </w:p>
    <w:p w:rsidR="00EF6661" w:rsidRDefault="00EF6661">
      <w:pPr>
        <w:pStyle w:val="21"/>
        <w:tabs>
          <w:tab w:val="right" w:leader="dot" w:pos="8306"/>
        </w:tabs>
        <w:spacing w:after="0" w:line="500" w:lineRule="exact"/>
        <w:ind w:left="440"/>
        <w:rPr>
          <w:rFonts w:ascii="Times New Roman" w:hAnsi="Times New Roman" w:cs="Times New Roman"/>
        </w:rPr>
      </w:pPr>
    </w:p>
    <w:p w:rsidR="00EF6661" w:rsidRDefault="00FB7728">
      <w:pPr>
        <w:tabs>
          <w:tab w:val="left" w:pos="3103"/>
        </w:tabs>
        <w:snapToGrid/>
        <w:spacing w:after="0" w:line="500" w:lineRule="exact"/>
        <w:contextualSpacing/>
        <w:rPr>
          <w:rFonts w:asciiTheme="minorEastAsia" w:eastAsiaTheme="minorEastAsia" w:hAnsiTheme="minorEastAsia" w:cs="方正小标宋简体"/>
          <w:b/>
          <w:sz w:val="32"/>
          <w:szCs w:val="32"/>
        </w:rPr>
        <w:sectPr w:rsidR="00EF6661">
          <w:footerReference w:type="default" r:id="rId8"/>
          <w:pgSz w:w="11906" w:h="16838"/>
          <w:pgMar w:top="1440" w:right="1800" w:bottom="1440" w:left="1800" w:header="708" w:footer="708" w:gutter="0"/>
          <w:pgNumType w:start="1"/>
          <w:cols w:space="708"/>
          <w:docGrid w:type="lines" w:linePitch="360"/>
        </w:sectPr>
      </w:pPr>
      <w:r>
        <w:rPr>
          <w:rFonts w:ascii="Times New Roman" w:eastAsiaTheme="minorEastAsia" w:hAnsi="Times New Roman" w:cs="Times New Roman"/>
          <w:szCs w:val="32"/>
        </w:rPr>
        <w:fldChar w:fldCharType="end"/>
      </w:r>
    </w:p>
    <w:bookmarkEnd w:id="6"/>
    <w:p w:rsidR="00EF6661" w:rsidRDefault="00E25C2C">
      <w:pPr>
        <w:snapToGrid/>
        <w:spacing w:after="0" w:line="72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环球中通（天津）供应链管理有限公司</w:t>
      </w:r>
    </w:p>
    <w:p w:rsidR="00EF6661" w:rsidRDefault="00E25C2C">
      <w:pPr>
        <w:snapToGrid/>
        <w:spacing w:after="0" w:line="72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“5</w:t>
      </w:r>
      <w:r>
        <w:rPr>
          <w:rFonts w:ascii="宋体" w:eastAsia="宋体" w:hAnsi="宋体" w:cs="宋体" w:hint="eastAsia"/>
          <w:bCs/>
          <w:sz w:val="44"/>
          <w:szCs w:val="44"/>
        </w:rPr>
        <w:t>•</w:t>
      </w:r>
      <w:r>
        <w:rPr>
          <w:rFonts w:ascii="方正小标宋简体" w:eastAsia="方正小标宋简体" w:hAnsi="方正小标宋简体" w:cs="方正小标宋简体" w:hint="eastAsia"/>
          <w:bCs/>
          <w:sz w:val="44"/>
          <w:szCs w:val="44"/>
        </w:rPr>
        <w:t xml:space="preserve"> 16”一般叉车倾覆相关事故调查报告</w:t>
      </w:r>
    </w:p>
    <w:p w:rsidR="00EF6661" w:rsidRDefault="00EF6661">
      <w:pPr>
        <w:widowControl w:val="0"/>
        <w:adjustRightInd/>
        <w:snapToGrid/>
        <w:spacing w:line="560" w:lineRule="exact"/>
        <w:ind w:firstLineChars="200" w:firstLine="640"/>
        <w:contextualSpacing/>
        <w:rPr>
          <w:rFonts w:ascii="仿宋_GB2312" w:eastAsia="仿宋_GB2312" w:hAnsi="仿宋_GB2312" w:cs="仿宋_GB2312"/>
          <w:bCs/>
          <w:sz w:val="32"/>
          <w:szCs w:val="32"/>
        </w:rPr>
      </w:pPr>
    </w:p>
    <w:p w:rsidR="00EF6661" w:rsidRDefault="00E25C2C">
      <w:pPr>
        <w:widowControl w:val="0"/>
        <w:adjustRightInd/>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年5月16日11时40分，保税区市场监管局接应急局通报，位于天津市空港经济区纬六道69号天津远洋名富产业园1号仓库2分区内，发生一起叉车倾覆事故。5月16日11时1分许，该仓库租户环球中通（天津）供应链管理有限公司叉车司机驾驶叉车倒车过程中，升起的门架上方碰到仓库横梁，导致叉车发生倾覆，将司机压到车辆下方造成重伤，被120紧急送往医院经抢救无效死亡。</w:t>
      </w:r>
    </w:p>
    <w:p w:rsidR="00EF6661" w:rsidRDefault="00E25C2C">
      <w:pPr>
        <w:widowControl w:val="0"/>
        <w:adjustRightInd/>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中华人民共和国特种设备安全法》《特种设备事故报告和调查处理导则》等有关法律、法规规定，经报请天津港保税区管理委员会批准，成立了由区市场监管局、应急局、人社局、群团部、航空路派出所等部门组成的环球中通（天津）供应链管理有限公司“5</w:t>
      </w:r>
      <w:r>
        <w:rPr>
          <w:rFonts w:ascii="宋体" w:eastAsia="宋体" w:hAnsi="宋体" w:cs="宋体" w:hint="eastAsia"/>
          <w:bCs/>
          <w:sz w:val="32"/>
          <w:szCs w:val="32"/>
        </w:rPr>
        <w:t>•</w:t>
      </w:r>
      <w:r>
        <w:rPr>
          <w:rFonts w:ascii="仿宋_GB2312" w:eastAsia="仿宋_GB2312" w:hAnsi="仿宋_GB2312" w:cs="仿宋_GB2312" w:hint="eastAsia"/>
          <w:bCs/>
          <w:sz w:val="32"/>
          <w:szCs w:val="32"/>
        </w:rPr>
        <w:t xml:space="preserve"> 16”一般叉车倾覆相关事故调查组（以下简称：事故调查组），组织开展事故调查工作。2024年5月17日，天津市滨海新区安全生产委员会下发了《一般生产安全事故查处挂牌督办通知》(津滨安生〔2024</w:t>
      </w:r>
      <w:r w:rsidR="000718A2">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12号)，对该事故查处实行挂牌督办。</w:t>
      </w:r>
    </w:p>
    <w:p w:rsidR="00EF6661" w:rsidRDefault="00E25C2C">
      <w:pPr>
        <w:widowControl w:val="0"/>
        <w:adjustRightInd/>
        <w:snapToGrid/>
        <w:spacing w:after="0" w:line="560" w:lineRule="exact"/>
        <w:ind w:firstLineChars="200" w:firstLine="640"/>
        <w:contextualSpacing/>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事故调查组按照“四不放过”和“科学严谨、依法依规、实事求是、注重实效”的原则，通过现场勘验、调查取证、综合分析，查明了事故发生的经过和原因，认定了事故的性质和</w:t>
      </w:r>
      <w:r>
        <w:rPr>
          <w:rFonts w:ascii="仿宋_GB2312" w:eastAsia="仿宋_GB2312" w:hAnsi="仿宋_GB2312" w:cs="仿宋_GB2312" w:hint="eastAsia"/>
          <w:bCs/>
          <w:sz w:val="32"/>
          <w:szCs w:val="32"/>
        </w:rPr>
        <w:lastRenderedPageBreak/>
        <w:t>责任，提出了对事故单位和责任人员的处理意见和建议，并针对事故原因及暴露出的突出问题，提出了事故防范措施及建议。现将有关情况报告如下：</w:t>
      </w:r>
    </w:p>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7" w:name="_Toc1223_WPSOffice_Level1"/>
      <w:bookmarkStart w:id="8" w:name="_Toc16110_WPSOffice_Level1"/>
      <w:bookmarkStart w:id="9" w:name="_Toc31084"/>
      <w:bookmarkStart w:id="10" w:name="_Toc141372573"/>
      <w:r>
        <w:rPr>
          <w:rFonts w:ascii="黑体" w:eastAsia="黑体" w:hAnsi="黑体" w:hint="eastAsia"/>
          <w:b w:val="0"/>
          <w:sz w:val="32"/>
          <w:szCs w:val="32"/>
        </w:rPr>
        <w:t>一、事故基本情况</w:t>
      </w:r>
      <w:bookmarkStart w:id="11" w:name="_Toc1223_WPSOffice_Level2"/>
      <w:bookmarkEnd w:id="7"/>
      <w:bookmarkEnd w:id="8"/>
      <w:bookmarkEnd w:id="9"/>
      <w:bookmarkEnd w:id="10"/>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b/>
          <w:bCs/>
          <w:sz w:val="32"/>
          <w:szCs w:val="32"/>
        </w:rPr>
      </w:pPr>
      <w:bookmarkStart w:id="12" w:name="_Toc17344"/>
      <w:r>
        <w:rPr>
          <w:rFonts w:ascii="楷体_GB2312" w:eastAsia="楷体_GB2312" w:hAnsi="楷体_GB2312" w:cs="楷体_GB2312" w:hint="eastAsia"/>
          <w:sz w:val="32"/>
          <w:szCs w:val="32"/>
        </w:rPr>
        <w:t>（一）事故单位及相关单位情况</w:t>
      </w:r>
      <w:bookmarkEnd w:id="11"/>
      <w:bookmarkEnd w:id="12"/>
    </w:p>
    <w:p w:rsidR="00EF6661" w:rsidRDefault="00E25C2C">
      <w:pPr>
        <w:widowControl w:val="0"/>
        <w:snapToGrid/>
        <w:spacing w:after="0" w:line="560" w:lineRule="exact"/>
        <w:ind w:firstLineChars="200" w:firstLine="643"/>
        <w:contextualSpacing/>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1.环球中通（天津）供应链管理有限公司（以下简称:环球中通公司）</w:t>
      </w:r>
      <w:bookmarkStart w:id="13" w:name="_Toc20528_WPSOffice_Level2"/>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环球中通公司</w:t>
      </w:r>
      <w:r>
        <w:rPr>
          <w:rFonts w:ascii="仿宋_GB2312" w:eastAsia="仿宋_GB2312" w:hAnsi="仿宋_GB2312" w:cs="仿宋_GB2312" w:hint="eastAsia"/>
          <w:sz w:val="32"/>
          <w:szCs w:val="32"/>
        </w:rPr>
        <w:t>成立于2019年7月19日，为有限责任公司。统一社会信用代码：91120222MA06QRXH7M；法定代表人：</w:t>
      </w:r>
      <w:r w:rsidR="00FA392D">
        <w:rPr>
          <w:rFonts w:ascii="仿宋_GB2312" w:eastAsia="仿宋_GB2312" w:hAnsi="仿宋_GB2312" w:cs="仿宋_GB2312" w:hint="eastAsia"/>
          <w:sz w:val="32"/>
          <w:szCs w:val="32"/>
        </w:rPr>
        <w:t>游X</w:t>
      </w:r>
      <w:r>
        <w:rPr>
          <w:rFonts w:ascii="仿宋_GB2312" w:eastAsia="仿宋_GB2312" w:hAnsi="仿宋_GB2312" w:cs="仿宋_GB2312" w:hint="eastAsia"/>
          <w:sz w:val="32"/>
          <w:szCs w:val="32"/>
        </w:rPr>
        <w:t>；住所：天津市武清区大碱厂镇杨崔公路东侧15号120室；经营范围：一般项目：供应链管理服务，企业管理咨询，普通货物仓储服务（不含危险化学品等需许可审批的项目），航空国际货物运输代理，货物进出口，技术进出口，电子产品销售，机械设备销售，机械设备租赁，国内货物运输代理等。许可项目：道路货物运输（不含危险货物）。（依法须经批准的项目，经相关部门批准后方可开展经营活动，具体经营项目以相关部门批准文件或许可证件为准）。</w:t>
      </w:r>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该公司所属行业为仓储物流行业，自2024年3月1日起，租用天津名富物流有限公司位于天津空港经济区纬六道68号的1号仓库2分区，用于从事快递仓储、分拣、运输业务。</w:t>
      </w:r>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14" w:name="_Toc26026"/>
      <w:r>
        <w:rPr>
          <w:rFonts w:ascii="楷体_GB2312" w:eastAsia="楷体_GB2312" w:hAnsi="楷体_GB2312" w:cs="楷体_GB2312" w:hint="eastAsia"/>
          <w:sz w:val="32"/>
          <w:szCs w:val="32"/>
        </w:rPr>
        <w:t>（二）涉事设备及相关人员情况</w:t>
      </w:r>
      <w:bookmarkEnd w:id="13"/>
      <w:bookmarkEnd w:id="14"/>
    </w:p>
    <w:p w:rsidR="00EF6661" w:rsidRDefault="00E25C2C">
      <w:pPr>
        <w:widowControl w:val="0"/>
        <w:snapToGrid/>
        <w:spacing w:after="0" w:line="560" w:lineRule="exact"/>
        <w:ind w:firstLineChars="200" w:firstLine="643"/>
        <w:contextualSpacing/>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1.涉事设备情况</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涉事设备种类：场（厂）内专用机动车辆</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制造单位名称：林德（中国）叉车有限公司</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产品名称：前移式叉车</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特种设备代码：511010204201914455</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车辆编号：C1X1150013696</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额定起重量：1000kg</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自重：2695Kg </w:t>
      </w:r>
    </w:p>
    <w:p w:rsidR="00EF6661" w:rsidRDefault="00E25C2C">
      <w:pPr>
        <w:widowControl w:val="0"/>
        <w:tabs>
          <w:tab w:val="left" w:pos="0"/>
          <w:tab w:val="left" w:pos="18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空载质量：1945Kg </w:t>
      </w:r>
    </w:p>
    <w:p w:rsidR="00EF6661" w:rsidRDefault="00E25C2C">
      <w:pPr>
        <w:widowControl w:val="0"/>
        <w:snapToGrid/>
        <w:spacing w:after="0" w:line="560" w:lineRule="exact"/>
        <w:ind w:firstLineChars="200" w:firstLine="643"/>
        <w:contextualSpacing/>
        <w:rPr>
          <w:rFonts w:ascii="仿宋_GB2312" w:eastAsia="仿宋_GB2312" w:hAnsi="仿宋_GB2312" w:cs="仿宋_GB2312"/>
          <w:b/>
          <w:sz w:val="32"/>
          <w:szCs w:val="32"/>
        </w:rPr>
      </w:pPr>
      <w:r>
        <w:rPr>
          <w:rFonts w:ascii="仿宋_GB2312" w:eastAsia="仿宋_GB2312" w:hAnsi="仿宋_GB2312" w:cs="仿宋_GB2312" w:hint="eastAsia"/>
          <w:b/>
          <w:sz w:val="32"/>
          <w:szCs w:val="32"/>
        </w:rPr>
        <w:t>2.涉事相关人员情况</w:t>
      </w:r>
    </w:p>
    <w:p w:rsidR="00EF6661" w:rsidRDefault="00E25C2C">
      <w:pPr>
        <w:widowControl w:val="0"/>
        <w:numPr>
          <w:ilvl w:val="255"/>
          <w:numId w:val="0"/>
        </w:numPr>
        <w:snapToGrid/>
        <w:spacing w:after="0" w:line="560" w:lineRule="exact"/>
        <w:ind w:firstLineChars="200" w:firstLine="640"/>
        <w:contextualSpacing/>
        <w:jc w:val="both"/>
        <w:rPr>
          <w:rFonts w:ascii="仿宋_GB2312" w:eastAsia="仿宋_GB2312" w:hAnsi="仿宋_GB2312" w:cs="仿宋_GB2312"/>
          <w:bCs/>
          <w:sz w:val="32"/>
          <w:szCs w:val="32"/>
        </w:rPr>
      </w:pPr>
      <w:bookmarkStart w:id="15" w:name="_Toc703_WPSOffice_Level1"/>
      <w:bookmarkStart w:id="16" w:name="_Toc32500_WPSOffice_Level1"/>
      <w:r>
        <w:rPr>
          <w:rFonts w:ascii="仿宋_GB2312" w:eastAsia="仿宋_GB2312" w:hAnsi="仿宋_GB2312" w:cs="仿宋_GB2312" w:hint="eastAsia"/>
          <w:bCs/>
          <w:sz w:val="32"/>
          <w:szCs w:val="32"/>
        </w:rPr>
        <w:t>（1）</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，男，32岁，环球中通公司叉车班长、司机，作业证号为</w:t>
      </w:r>
      <w:r w:rsidR="00FA392D">
        <w:rPr>
          <w:rFonts w:ascii="仿宋_GB2312" w:eastAsia="仿宋_GB2312" w:hAnsi="仿宋_GB2312" w:cs="仿宋_GB2312" w:hint="eastAsia"/>
          <w:bCs/>
          <w:sz w:val="32"/>
          <w:szCs w:val="32"/>
        </w:rPr>
        <w:t>XX</w:t>
      </w:r>
      <w:r>
        <w:rPr>
          <w:rFonts w:ascii="仿宋_GB2312" w:eastAsia="仿宋_GB2312" w:hAnsi="仿宋_GB2312" w:cs="仿宋_GB2312" w:hint="eastAsia"/>
          <w:bCs/>
          <w:sz w:val="32"/>
          <w:szCs w:val="32"/>
        </w:rPr>
        <w:t>X，证书有效期自2023年2月至2027年1月。</w:t>
      </w:r>
    </w:p>
    <w:p w:rsidR="00EF6661" w:rsidRDefault="00E25C2C">
      <w:pPr>
        <w:widowControl w:val="0"/>
        <w:numPr>
          <w:ilvl w:val="255"/>
          <w:numId w:val="0"/>
        </w:numPr>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FA392D">
        <w:rPr>
          <w:rFonts w:ascii="仿宋_GB2312" w:eastAsia="仿宋_GB2312" w:hAnsi="仿宋_GB2312" w:cs="仿宋_GB2312" w:hint="eastAsia"/>
          <w:bCs/>
          <w:sz w:val="32"/>
          <w:szCs w:val="32"/>
        </w:rPr>
        <w:t>梁XX</w:t>
      </w:r>
      <w:r>
        <w:rPr>
          <w:rFonts w:ascii="仿宋_GB2312" w:eastAsia="仿宋_GB2312" w:hAnsi="仿宋_GB2312" w:cs="仿宋_GB2312" w:hint="eastAsia"/>
          <w:bCs/>
          <w:sz w:val="32"/>
          <w:szCs w:val="32"/>
        </w:rPr>
        <w:t>，男，45岁，环球中通公司总经理、公司实际控制人，负责环球中通公司的生产经营和安全等全部工作。</w:t>
      </w:r>
    </w:p>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17" w:name="_Toc8106"/>
      <w:bookmarkStart w:id="18" w:name="_Toc141372574"/>
      <w:r>
        <w:rPr>
          <w:rFonts w:ascii="黑体" w:eastAsia="黑体" w:hAnsi="黑体" w:hint="eastAsia"/>
          <w:b w:val="0"/>
          <w:sz w:val="32"/>
          <w:szCs w:val="32"/>
        </w:rPr>
        <w:t>二、事故发生过程、应急</w:t>
      </w:r>
      <w:bookmarkEnd w:id="15"/>
      <w:bookmarkEnd w:id="16"/>
      <w:r>
        <w:rPr>
          <w:rFonts w:ascii="黑体" w:eastAsia="黑体" w:hAnsi="黑体" w:hint="eastAsia"/>
          <w:b w:val="0"/>
          <w:sz w:val="32"/>
          <w:szCs w:val="32"/>
        </w:rPr>
        <w:t>处置及善后赔偿情况</w:t>
      </w:r>
      <w:bookmarkEnd w:id="17"/>
      <w:bookmarkEnd w:id="18"/>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19" w:name="_Toc27423"/>
      <w:bookmarkStart w:id="20" w:name="_Toc23747_WPSOffice_Level2"/>
      <w:r>
        <w:rPr>
          <w:rFonts w:ascii="楷体_GB2312" w:eastAsia="楷体_GB2312" w:hAnsi="楷体_GB2312" w:cs="楷体_GB2312" w:hint="eastAsia"/>
          <w:sz w:val="32"/>
          <w:szCs w:val="32"/>
        </w:rPr>
        <w:t>（一）事故发生过程</w:t>
      </w:r>
      <w:bookmarkEnd w:id="19"/>
      <w:bookmarkEnd w:id="20"/>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bookmarkStart w:id="21" w:name="_Toc6706_WPSOffice_Level2"/>
      <w:r>
        <w:rPr>
          <w:rFonts w:ascii="仿宋_GB2312" w:eastAsia="仿宋_GB2312" w:hAnsi="仿宋_GB2312" w:cs="仿宋_GB2312" w:hint="eastAsia"/>
          <w:bCs/>
          <w:sz w:val="32"/>
          <w:szCs w:val="32"/>
        </w:rPr>
        <w:t>2024年5月16日11时1分，环球中通公司叉车司机</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在仓库中拣货作业时，驾驶高架叉车空载行驶在通道中，叉车升起货叉后未及时落下撞击到房间顶部钢梁，引起叉车剧烈晃动,叉车先后倾再向前倾覆，</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被甩出驾驶位后将其压在车辆下面。</w:t>
      </w:r>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22" w:name="_Toc21074"/>
      <w:r>
        <w:rPr>
          <w:rFonts w:ascii="楷体_GB2312" w:eastAsia="楷体_GB2312" w:hAnsi="楷体_GB2312" w:cs="楷体_GB2312" w:hint="eastAsia"/>
          <w:sz w:val="32"/>
          <w:szCs w:val="32"/>
        </w:rPr>
        <w:t>（二）应急处置情况</w:t>
      </w:r>
      <w:bookmarkEnd w:id="21"/>
      <w:bookmarkEnd w:id="22"/>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事故发生后，周围员工使用工具将叉车抬起救出</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，发</w:t>
      </w:r>
      <w:r>
        <w:rPr>
          <w:rFonts w:ascii="仿宋_GB2312" w:eastAsia="仿宋_GB2312" w:hAnsi="仿宋_GB2312" w:cs="仿宋_GB2312" w:hint="eastAsia"/>
          <w:bCs/>
          <w:sz w:val="32"/>
          <w:szCs w:val="32"/>
        </w:rPr>
        <w:lastRenderedPageBreak/>
        <w:t>现</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未带安全帽也未系安全带，在拨打120电话后，大约11时15分救护车辆抵达现场，11时35分送至天津医科大学总医院空港医院，据急诊记录当时</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胸腹部畸形外伤压痕明显且已无心音和脉搏，抢救后在15时24分因呼吸循坏衰竭死亡。</w:t>
      </w:r>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23" w:name="_Toc24114"/>
      <w:r>
        <w:rPr>
          <w:rFonts w:ascii="楷体_GB2312" w:eastAsia="楷体_GB2312" w:hAnsi="楷体_GB2312" w:cs="楷体_GB2312" w:hint="eastAsia"/>
          <w:sz w:val="32"/>
          <w:szCs w:val="32"/>
        </w:rPr>
        <w:t>（三）善后赔偿情况</w:t>
      </w:r>
      <w:bookmarkEnd w:id="23"/>
    </w:p>
    <w:p w:rsidR="00EF6661" w:rsidRDefault="00E25C2C">
      <w:pPr>
        <w:widowControl w:val="0"/>
        <w:tabs>
          <w:tab w:val="left" w:pos="360"/>
        </w:tabs>
        <w:snapToGrid/>
        <w:spacing w:after="0" w:line="560" w:lineRule="exact"/>
        <w:ind w:firstLineChars="200" w:firstLine="640"/>
        <w:contextualSpacing/>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5月18日，环球中通公司与死者家属签订了赔偿协议，赔偿死者家属115万元人民币，该事故未对社会稳定造成影响。</w:t>
      </w:r>
    </w:p>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24" w:name="_Toc8686_WPSOffice_Level1"/>
      <w:bookmarkStart w:id="25" w:name="_Toc31332_WPSOffice_Level1"/>
      <w:bookmarkStart w:id="26" w:name="_Toc141372575"/>
      <w:bookmarkStart w:id="27" w:name="_Toc23443"/>
      <w:r>
        <w:rPr>
          <w:rFonts w:ascii="黑体" w:eastAsia="黑体" w:hAnsi="黑体" w:hint="eastAsia"/>
          <w:b w:val="0"/>
          <w:sz w:val="32"/>
          <w:szCs w:val="32"/>
        </w:rPr>
        <w:t>三、人员伤亡及直接经济损失</w:t>
      </w:r>
      <w:bookmarkEnd w:id="24"/>
      <w:bookmarkEnd w:id="25"/>
      <w:bookmarkEnd w:id="26"/>
      <w:bookmarkEnd w:id="27"/>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28" w:name="_Toc31970_WPSOffice_Level2"/>
      <w:bookmarkStart w:id="29" w:name="_Toc4130"/>
      <w:r>
        <w:rPr>
          <w:rFonts w:ascii="楷体_GB2312" w:eastAsia="楷体_GB2312" w:hAnsi="楷体_GB2312" w:cs="楷体_GB2312" w:hint="eastAsia"/>
          <w:sz w:val="32"/>
          <w:szCs w:val="32"/>
        </w:rPr>
        <w:t>（一）人员伤亡情况</w:t>
      </w:r>
      <w:bookmarkEnd w:id="28"/>
      <w:bookmarkEnd w:id="29"/>
    </w:p>
    <w:p w:rsidR="00EF6661" w:rsidRDefault="00E25C2C">
      <w:pPr>
        <w:widowControl w:val="0"/>
        <w:snapToGrid/>
        <w:spacing w:after="0" w:line="560" w:lineRule="exact"/>
        <w:ind w:firstLineChars="200" w:firstLine="640"/>
        <w:contextualSpacing/>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事故造成1人死亡。死者</w:t>
      </w:r>
      <w:bookmarkStart w:id="30" w:name="_Toc30347_WPSOffice_Level2"/>
      <w:r>
        <w:rPr>
          <w:rFonts w:ascii="仿宋_GB2312" w:eastAsia="仿宋_GB2312" w:hAnsi="仿宋_GB2312" w:cs="仿宋_GB2312" w:hint="eastAsia"/>
          <w:bCs/>
          <w:sz w:val="32"/>
          <w:szCs w:val="32"/>
        </w:rPr>
        <w:t>：</w:t>
      </w:r>
      <w:r w:rsidR="00FA392D">
        <w:rPr>
          <w:rFonts w:ascii="仿宋_GB2312" w:eastAsia="仿宋_GB2312" w:hAnsi="仿宋_GB2312" w:cs="仿宋_GB2312" w:hint="eastAsia"/>
          <w:bCs/>
          <w:sz w:val="32"/>
          <w:szCs w:val="32"/>
        </w:rPr>
        <w:t>段XX</w:t>
      </w:r>
      <w:r>
        <w:rPr>
          <w:rFonts w:ascii="仿宋_GB2312" w:eastAsia="仿宋_GB2312" w:hAnsi="仿宋_GB2312" w:cs="仿宋_GB2312" w:hint="eastAsia"/>
          <w:bCs/>
          <w:sz w:val="32"/>
          <w:szCs w:val="32"/>
        </w:rPr>
        <w:t>，男，1992年5月29日出生，河北省邯郸市人，身份证号为</w:t>
      </w:r>
      <w:r w:rsidR="00FA392D">
        <w:rPr>
          <w:rFonts w:ascii="仿宋_GB2312" w:eastAsia="仿宋_GB2312" w:hAnsi="仿宋_GB2312" w:cs="仿宋_GB2312" w:hint="eastAsia"/>
          <w:bCs/>
          <w:sz w:val="32"/>
          <w:szCs w:val="32"/>
        </w:rPr>
        <w:t>XX</w:t>
      </w:r>
      <w:r>
        <w:rPr>
          <w:rFonts w:ascii="仿宋_GB2312" w:eastAsia="仿宋_GB2312" w:hAnsi="仿宋_GB2312" w:cs="仿宋_GB2312" w:hint="eastAsia"/>
          <w:bCs/>
          <w:sz w:val="32"/>
          <w:szCs w:val="32"/>
        </w:rPr>
        <w:t>X。</w:t>
      </w:r>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31" w:name="_Toc32085"/>
      <w:r>
        <w:rPr>
          <w:rFonts w:ascii="楷体_GB2312" w:eastAsia="楷体_GB2312" w:hAnsi="楷体_GB2312" w:cs="楷体_GB2312" w:hint="eastAsia"/>
          <w:sz w:val="32"/>
          <w:szCs w:val="32"/>
        </w:rPr>
        <w:t>（二）直接经济损失</w:t>
      </w:r>
      <w:bookmarkEnd w:id="30"/>
      <w:bookmarkEnd w:id="31"/>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事故调查组依据《企业职工伤亡事故经济损失统计标准》（GB6721-86）的有关规定，核定事故造成直接经济损失142.85万元</w:t>
      </w:r>
      <w:r w:rsidR="007978DB">
        <w:rPr>
          <w:rFonts w:ascii="仿宋_GB2312" w:eastAsia="仿宋_GB2312" w:hAnsi="仿宋_GB2312" w:cs="仿宋_GB2312" w:hint="eastAsia"/>
          <w:sz w:val="32"/>
          <w:szCs w:val="32"/>
        </w:rPr>
        <w:t>（事故罚款暂未计入）</w:t>
      </w:r>
      <w:r>
        <w:rPr>
          <w:rFonts w:ascii="仿宋_GB2312" w:eastAsia="仿宋_GB2312" w:hAnsi="仿宋_GB2312" w:cs="仿宋_GB2312" w:hint="eastAsia"/>
          <w:sz w:val="32"/>
          <w:szCs w:val="32"/>
        </w:rPr>
        <w:t>。</w:t>
      </w:r>
    </w:p>
    <w:tbl>
      <w:tblPr>
        <w:tblStyle w:val="a9"/>
        <w:tblpPr w:leftFromText="180" w:rightFromText="180" w:vertAnchor="text" w:horzAnchor="page" w:tblpXSpec="center" w:tblpY="151"/>
        <w:tblW w:w="8755" w:type="dxa"/>
        <w:jc w:val="center"/>
        <w:tblLook w:val="04A0"/>
      </w:tblPr>
      <w:tblGrid>
        <w:gridCol w:w="1758"/>
        <w:gridCol w:w="1753"/>
        <w:gridCol w:w="1750"/>
        <w:gridCol w:w="1747"/>
        <w:gridCol w:w="1747"/>
      </w:tblGrid>
      <w:tr w:rsidR="00EF6661">
        <w:trPr>
          <w:trHeight w:hRule="exact" w:val="648"/>
          <w:jc w:val="center"/>
        </w:trPr>
        <w:tc>
          <w:tcPr>
            <w:tcW w:w="1758"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医疗（含护理）费用</w:t>
            </w:r>
          </w:p>
        </w:tc>
        <w:tc>
          <w:tcPr>
            <w:tcW w:w="1753"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丧葬及抚恤费用</w:t>
            </w:r>
          </w:p>
        </w:tc>
        <w:tc>
          <w:tcPr>
            <w:tcW w:w="1750"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补助及救济</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歇工工资</w:t>
            </w:r>
          </w:p>
        </w:tc>
        <w:tc>
          <w:tcPr>
            <w:tcW w:w="1747" w:type="dxa"/>
            <w:vAlign w:val="center"/>
          </w:tcPr>
          <w:p w:rsidR="00EF6661" w:rsidRDefault="00E25C2C" w:rsidP="007978DB">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处理事故</w:t>
            </w:r>
            <w:r w:rsidR="007978DB">
              <w:rPr>
                <w:rFonts w:ascii="Times New Roman" w:eastAsia="仿宋" w:hAnsi="Times New Roman" w:cs="Times New Roman"/>
                <w:color w:val="000000"/>
                <w:sz w:val="24"/>
                <w:szCs w:val="24"/>
              </w:rPr>
              <w:t>事务性</w:t>
            </w:r>
            <w:r>
              <w:rPr>
                <w:rFonts w:ascii="Times New Roman" w:eastAsia="仿宋" w:hAnsi="Times New Roman" w:cs="Times New Roman"/>
                <w:color w:val="000000"/>
                <w:sz w:val="24"/>
                <w:szCs w:val="24"/>
              </w:rPr>
              <w:t>的</w:t>
            </w:r>
            <w:r w:rsidR="007978DB">
              <w:rPr>
                <w:rFonts w:ascii="Times New Roman" w:eastAsia="仿宋" w:hAnsi="Times New Roman" w:cs="Times New Roman"/>
                <w:color w:val="000000"/>
                <w:sz w:val="24"/>
                <w:szCs w:val="24"/>
              </w:rPr>
              <w:t>费用</w:t>
            </w:r>
          </w:p>
        </w:tc>
      </w:tr>
      <w:tr w:rsidR="00EF6661">
        <w:trPr>
          <w:trHeight w:hRule="exact" w:val="471"/>
          <w:jc w:val="center"/>
        </w:trPr>
        <w:tc>
          <w:tcPr>
            <w:tcW w:w="1758"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1.5</w:t>
            </w:r>
          </w:p>
        </w:tc>
        <w:tc>
          <w:tcPr>
            <w:tcW w:w="1753"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115</w:t>
            </w:r>
          </w:p>
        </w:tc>
        <w:tc>
          <w:tcPr>
            <w:tcW w:w="1750"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6</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EF6661">
        <w:trPr>
          <w:trHeight w:hRule="exact" w:val="678"/>
          <w:jc w:val="center"/>
        </w:trPr>
        <w:tc>
          <w:tcPr>
            <w:tcW w:w="1758"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现场抢救费用</w:t>
            </w:r>
          </w:p>
        </w:tc>
        <w:tc>
          <w:tcPr>
            <w:tcW w:w="1753"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清理现场费用</w:t>
            </w:r>
          </w:p>
        </w:tc>
        <w:tc>
          <w:tcPr>
            <w:tcW w:w="1750"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事故罚款和赔偿费用</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固定资产损失价值</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流动资产损失价值</w:t>
            </w:r>
          </w:p>
        </w:tc>
      </w:tr>
      <w:tr w:rsidR="00EF6661">
        <w:trPr>
          <w:trHeight w:hRule="exact" w:val="445"/>
          <w:jc w:val="center"/>
        </w:trPr>
        <w:tc>
          <w:tcPr>
            <w:tcW w:w="1758"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0.15</w:t>
            </w:r>
          </w:p>
        </w:tc>
        <w:tc>
          <w:tcPr>
            <w:tcW w:w="1753"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0.2</w:t>
            </w:r>
          </w:p>
        </w:tc>
        <w:tc>
          <w:tcPr>
            <w:tcW w:w="1750"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0.2</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13</w:t>
            </w:r>
          </w:p>
        </w:tc>
        <w:tc>
          <w:tcPr>
            <w:tcW w:w="1747"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p>
        </w:tc>
      </w:tr>
      <w:tr w:rsidR="00EF6661">
        <w:trPr>
          <w:trHeight w:hRule="exact" w:val="424"/>
          <w:jc w:val="center"/>
        </w:trPr>
        <w:tc>
          <w:tcPr>
            <w:tcW w:w="1758" w:type="dxa"/>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总计</w:t>
            </w:r>
          </w:p>
        </w:tc>
        <w:tc>
          <w:tcPr>
            <w:tcW w:w="6997" w:type="dxa"/>
            <w:gridSpan w:val="4"/>
            <w:vAlign w:val="center"/>
          </w:tcPr>
          <w:p w:rsidR="00EF6661" w:rsidRDefault="00E25C2C">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142.85</w:t>
            </w:r>
          </w:p>
        </w:tc>
      </w:tr>
    </w:tbl>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32" w:name="_Toc141372576"/>
      <w:bookmarkStart w:id="33" w:name="_Toc8774"/>
      <w:bookmarkStart w:id="34" w:name="_Toc27543_WPSOffice_Level1"/>
      <w:bookmarkStart w:id="35" w:name="_Toc20528_WPSOffice_Level1"/>
      <w:r>
        <w:rPr>
          <w:rFonts w:ascii="黑体" w:eastAsia="黑体" w:hAnsi="黑体" w:hint="eastAsia"/>
          <w:b w:val="0"/>
          <w:sz w:val="32"/>
          <w:szCs w:val="32"/>
        </w:rPr>
        <w:t>四、事故原因及性质</w:t>
      </w:r>
      <w:bookmarkStart w:id="36" w:name="_Toc3158_WPSOffice_Level2"/>
      <w:bookmarkEnd w:id="32"/>
      <w:bookmarkEnd w:id="33"/>
      <w:bookmarkEnd w:id="34"/>
      <w:bookmarkEnd w:id="35"/>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37" w:name="_Toc1602"/>
      <w:r>
        <w:rPr>
          <w:rFonts w:ascii="楷体_GB2312" w:eastAsia="楷体_GB2312" w:hAnsi="楷体_GB2312" w:cs="楷体_GB2312" w:hint="eastAsia"/>
          <w:sz w:val="32"/>
          <w:szCs w:val="32"/>
        </w:rPr>
        <w:t>（一）直接原因</w:t>
      </w:r>
      <w:bookmarkEnd w:id="36"/>
      <w:bookmarkEnd w:id="37"/>
    </w:p>
    <w:p w:rsidR="00EF6661" w:rsidRPr="007978DB" w:rsidRDefault="00E25C2C">
      <w:pPr>
        <w:widowControl w:val="0"/>
        <w:snapToGrid/>
        <w:spacing w:after="0" w:line="560" w:lineRule="exact"/>
        <w:ind w:firstLineChars="200" w:firstLine="640"/>
        <w:contextualSpacing/>
        <w:rPr>
          <w:rFonts w:ascii="仿宋_GB2312" w:eastAsia="仿宋_GB2312" w:hAnsi="Times New Roman" w:cs="Times New Roman"/>
          <w:sz w:val="32"/>
          <w:szCs w:val="32"/>
        </w:rPr>
      </w:pPr>
      <w:bookmarkStart w:id="38" w:name="_Toc171328229"/>
      <w:r>
        <w:rPr>
          <w:rFonts w:ascii="仿宋_GB2312" w:eastAsia="仿宋_GB2312" w:hAnsi="仿宋_GB2312" w:cs="仿宋_GB2312" w:hint="eastAsia"/>
          <w:sz w:val="32"/>
          <w:szCs w:val="32"/>
        </w:rPr>
        <w:lastRenderedPageBreak/>
        <w:t>叉车司机</w:t>
      </w:r>
      <w:r w:rsidR="00FA392D">
        <w:rPr>
          <w:rFonts w:ascii="仿宋_GB2312" w:eastAsia="仿宋_GB2312" w:hAnsi="仿宋_GB2312" w:cs="仿宋_GB2312" w:hint="eastAsia"/>
          <w:sz w:val="32"/>
          <w:szCs w:val="32"/>
        </w:rPr>
        <w:t>段XX</w:t>
      </w:r>
      <w:r>
        <w:rPr>
          <w:rFonts w:ascii="仿宋_GB2312" w:eastAsia="仿宋_GB2312" w:hAnsi="仿宋_GB2312" w:cs="仿宋_GB2312" w:hint="eastAsia"/>
          <w:sz w:val="32"/>
          <w:szCs w:val="32"/>
        </w:rPr>
        <w:t>超速、超高驾驶叉车，在经过G9货架钢梁柱时没有提前将叉架降低至安全位置，叉车叉架与仓库钢梁发生撞击，因其未佩戴安全带被甩出驾驶室外，叉车倾覆时将其身体压在车辆下方，导致最终死亡。该行为属于《企业职工伤亡事故分类》GB 6441-1986附录A中“7.01.10违章驾驶车辆”“7.12.6未佩戴安全带”，违反</w:t>
      </w:r>
      <w:bookmarkStart w:id="39" w:name="_Hlk168436642"/>
      <w:bookmarkStart w:id="40" w:name="_Hlk168436285"/>
      <w:bookmarkStart w:id="41" w:name="_Hlk168435428"/>
      <w:bookmarkStart w:id="42" w:name="_Hlk168434035"/>
      <w:r>
        <w:rPr>
          <w:rFonts w:ascii="仿宋_GB2312" w:eastAsia="仿宋_GB2312" w:hAnsi="仿宋_GB2312" w:cs="仿宋_GB2312" w:hint="eastAsia"/>
          <w:sz w:val="32"/>
          <w:szCs w:val="32"/>
        </w:rPr>
        <w:t>《工业企业厂内铁路、道路运输安全规程》（GB4387-2008）</w:t>
      </w:r>
      <w:bookmarkEnd w:id="39"/>
      <w:r>
        <w:rPr>
          <w:rStyle w:val="ac"/>
          <w:rFonts w:ascii="仿宋_GB2312" w:eastAsia="仿宋_GB2312" w:hAnsi="仿宋_GB2312" w:cs="仿宋_GB2312" w:hint="eastAsia"/>
          <w:sz w:val="32"/>
          <w:szCs w:val="32"/>
        </w:rPr>
        <w:t>[</w:t>
      </w:r>
      <w:r>
        <w:rPr>
          <w:rStyle w:val="ac"/>
          <w:rFonts w:ascii="仿宋_GB2312" w:eastAsia="仿宋_GB2312" w:hAnsi="仿宋_GB2312" w:cs="仿宋_GB2312" w:hint="eastAsia"/>
          <w:sz w:val="32"/>
          <w:szCs w:val="32"/>
        </w:rPr>
        <w:footnoteReference w:id="2"/>
      </w:r>
      <w:r>
        <w:rPr>
          <w:rStyle w:val="ac"/>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6.4.2</w:t>
      </w:r>
      <w:bookmarkEnd w:id="40"/>
      <w:r>
        <w:rPr>
          <w:rFonts w:ascii="仿宋_GB2312" w:eastAsia="仿宋_GB2312" w:hAnsi="仿宋_GB2312" w:cs="仿宋_GB2312" w:hint="eastAsia"/>
          <w:sz w:val="32"/>
          <w:szCs w:val="32"/>
        </w:rPr>
        <w:t>条</w:t>
      </w:r>
      <w:bookmarkStart w:id="43" w:name="_Hlk168432124"/>
      <w:r>
        <w:rPr>
          <w:rStyle w:val="ac"/>
          <w:rFonts w:ascii="仿宋_GB2312" w:eastAsia="仿宋_GB2312" w:hAnsi="仿宋_GB2312" w:cs="仿宋_GB2312" w:hint="eastAsia"/>
          <w:sz w:val="32"/>
          <w:szCs w:val="32"/>
        </w:rPr>
        <w:t>[</w:t>
      </w:r>
      <w:r>
        <w:rPr>
          <w:rStyle w:val="ac"/>
          <w:rFonts w:ascii="仿宋_GB2312" w:eastAsia="仿宋_GB2312" w:hAnsi="仿宋_GB2312" w:cs="仿宋_GB2312" w:hint="eastAsia"/>
          <w:sz w:val="32"/>
          <w:szCs w:val="32"/>
        </w:rPr>
        <w:footnoteReference w:id="3"/>
      </w:r>
      <w:bookmarkEnd w:id="43"/>
      <w:r>
        <w:rPr>
          <w:rStyle w:val="ac"/>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；《工业车辆使用、操作与维护安全规范》</w:t>
      </w:r>
      <w:bookmarkEnd w:id="41"/>
      <w:r>
        <w:rPr>
          <w:rFonts w:ascii="仿宋_GB2312" w:eastAsia="仿宋_GB2312" w:hAnsi="仿宋_GB2312" w:cs="仿宋_GB2312" w:hint="eastAsia"/>
          <w:sz w:val="32"/>
          <w:szCs w:val="32"/>
        </w:rPr>
        <w:t>(GB/T36507-2023)4.6.1.11条</w:t>
      </w:r>
      <w:bookmarkEnd w:id="42"/>
      <w:r>
        <w:rPr>
          <w:rStyle w:val="ac"/>
          <w:rFonts w:ascii="仿宋_GB2312" w:eastAsia="仿宋_GB2312" w:hAnsi="仿宋_GB2312" w:cs="仿宋_GB2312" w:hint="eastAsia"/>
          <w:sz w:val="32"/>
          <w:szCs w:val="32"/>
        </w:rPr>
        <w:t>[</w:t>
      </w:r>
      <w:r>
        <w:rPr>
          <w:rStyle w:val="ac"/>
          <w:rFonts w:ascii="仿宋_GB2312" w:eastAsia="仿宋_GB2312" w:hAnsi="仿宋_GB2312" w:cs="仿宋_GB2312" w:hint="eastAsia"/>
          <w:sz w:val="32"/>
          <w:szCs w:val="32"/>
        </w:rPr>
        <w:footnoteReference w:id="4"/>
      </w:r>
      <w:r>
        <w:rPr>
          <w:rStyle w:val="ac"/>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7978DB">
        <w:rPr>
          <w:rFonts w:ascii="仿宋_GB2312" w:eastAsia="仿宋_GB2312" w:hAnsi="仿宋_GB2312" w:cs="仿宋_GB2312" w:hint="eastAsia"/>
          <w:sz w:val="32"/>
          <w:szCs w:val="32"/>
        </w:rPr>
        <w:t>4.6.1.14条</w:t>
      </w:r>
      <w:bookmarkStart w:id="45" w:name="_Hlk168433288"/>
      <w:r w:rsidRPr="007978DB">
        <w:rPr>
          <w:rStyle w:val="ac"/>
          <w:rFonts w:ascii="仿宋_GB2312" w:eastAsia="仿宋_GB2312" w:hAnsi="仿宋_GB2312" w:cs="仿宋_GB2312" w:hint="eastAsia"/>
          <w:sz w:val="32"/>
          <w:szCs w:val="32"/>
        </w:rPr>
        <w:t>[</w:t>
      </w:r>
      <w:r w:rsidRPr="007978DB">
        <w:rPr>
          <w:rStyle w:val="ac"/>
          <w:rFonts w:ascii="仿宋_GB2312" w:eastAsia="仿宋_GB2312" w:hAnsi="仿宋_GB2312" w:cs="仿宋_GB2312" w:hint="eastAsia"/>
          <w:sz w:val="32"/>
          <w:szCs w:val="32"/>
        </w:rPr>
        <w:footnoteReference w:id="5"/>
      </w:r>
      <w:bookmarkEnd w:id="45"/>
      <w:r w:rsidRPr="007978DB">
        <w:rPr>
          <w:rStyle w:val="ac"/>
          <w:rFonts w:ascii="仿宋_GB2312" w:eastAsia="仿宋_GB2312" w:hAnsi="仿宋_GB2312" w:cs="仿宋_GB2312" w:hint="eastAsia"/>
          <w:sz w:val="32"/>
          <w:szCs w:val="32"/>
        </w:rPr>
        <w:t>]</w:t>
      </w:r>
      <w:r w:rsidRPr="007978DB">
        <w:rPr>
          <w:rFonts w:ascii="仿宋_GB2312" w:eastAsia="仿宋_GB2312" w:hAnsi="Times New Roman" w:cs="Times New Roman" w:hint="eastAsia"/>
          <w:sz w:val="32"/>
          <w:szCs w:val="32"/>
        </w:rPr>
        <w:t>和5.5条</w:t>
      </w:r>
      <w:bookmarkStart w:id="47" w:name="_Hlk168433989"/>
      <w:r w:rsidRPr="007978DB">
        <w:rPr>
          <w:rStyle w:val="ac"/>
          <w:rFonts w:ascii="仿宋_GB2312" w:eastAsia="仿宋_GB2312" w:hAnsi="Times New Roman" w:cs="Times New Roman" w:hint="eastAsia"/>
          <w:sz w:val="32"/>
          <w:szCs w:val="32"/>
        </w:rPr>
        <w:t>[</w:t>
      </w:r>
      <w:r w:rsidRPr="007978DB">
        <w:rPr>
          <w:rStyle w:val="ac"/>
          <w:rFonts w:ascii="仿宋_GB2312" w:eastAsia="仿宋_GB2312" w:hAnsi="Times New Roman" w:cs="Times New Roman" w:hint="eastAsia"/>
          <w:sz w:val="32"/>
          <w:szCs w:val="32"/>
        </w:rPr>
        <w:footnoteReference w:id="6"/>
      </w:r>
      <w:bookmarkEnd w:id="47"/>
      <w:r w:rsidRPr="007978DB">
        <w:rPr>
          <w:rStyle w:val="ac"/>
          <w:rFonts w:ascii="仿宋_GB2312" w:eastAsia="仿宋_GB2312" w:hAnsi="Times New Roman" w:cs="Times New Roman" w:hint="eastAsia"/>
          <w:sz w:val="32"/>
          <w:szCs w:val="32"/>
        </w:rPr>
        <w:t>]</w:t>
      </w:r>
      <w:r w:rsidRPr="007978DB">
        <w:rPr>
          <w:rFonts w:ascii="仿宋_GB2312" w:eastAsia="仿宋_GB2312" w:hAnsi="Times New Roman" w:cs="Times New Roman" w:hint="eastAsia"/>
          <w:sz w:val="32"/>
          <w:szCs w:val="32"/>
        </w:rPr>
        <w:t>的规定。</w:t>
      </w:r>
      <w:bookmarkEnd w:id="38"/>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49" w:name="_Toc22676"/>
      <w:r>
        <w:rPr>
          <w:rFonts w:ascii="楷体_GB2312" w:eastAsia="楷体_GB2312" w:hAnsi="楷体_GB2312" w:cs="楷体_GB2312" w:hint="eastAsia"/>
          <w:sz w:val="32"/>
          <w:szCs w:val="32"/>
        </w:rPr>
        <w:t>（二）间接原因</w:t>
      </w:r>
      <w:bookmarkEnd w:id="49"/>
    </w:p>
    <w:p w:rsidR="00EF6661" w:rsidRDefault="00E25C2C">
      <w:pPr>
        <w:widowControl w:val="0"/>
        <w:snapToGrid/>
        <w:spacing w:after="0" w:line="560" w:lineRule="exact"/>
        <w:ind w:firstLineChars="200" w:firstLine="640"/>
        <w:contextualSpacing/>
        <w:rPr>
          <w:rFonts w:ascii="仿宋_GB2312" w:eastAsia="仿宋_GB2312" w:hAnsi="仿宋_GB2312" w:cs="仿宋_GB2312"/>
          <w:sz w:val="32"/>
          <w:szCs w:val="32"/>
        </w:rPr>
      </w:pPr>
      <w:bookmarkStart w:id="50" w:name="_Toc171328231"/>
      <w:r>
        <w:rPr>
          <w:rFonts w:ascii="仿宋_GB2312" w:eastAsia="仿宋_GB2312" w:hAnsi="仿宋_GB2312" w:cs="仿宋_GB2312" w:hint="eastAsia"/>
          <w:sz w:val="32"/>
          <w:szCs w:val="32"/>
        </w:rPr>
        <w:t>1.</w:t>
      </w:r>
      <w:bookmarkStart w:id="51" w:name="_Hlk168460267"/>
      <w:r>
        <w:rPr>
          <w:rFonts w:ascii="仿宋_GB2312" w:eastAsia="仿宋_GB2312" w:hAnsi="仿宋_GB2312" w:cs="仿宋_GB2312" w:hint="eastAsia"/>
          <w:sz w:val="32"/>
          <w:szCs w:val="32"/>
        </w:rPr>
        <w:t>环球中通公司</w:t>
      </w:r>
      <w:bookmarkEnd w:id="51"/>
      <w:r w:rsidR="007978DB">
        <w:rPr>
          <w:rFonts w:ascii="仿宋_GB2312" w:eastAsia="仿宋_GB2312" w:hAnsi="仿宋_GB2312" w:cs="仿宋_GB2312" w:hint="eastAsia"/>
          <w:sz w:val="32"/>
          <w:szCs w:val="32"/>
        </w:rPr>
        <w:t>未制定特种设备作业人</w:t>
      </w:r>
      <w:r w:rsidR="007978DB" w:rsidRPr="007978DB">
        <w:rPr>
          <w:rFonts w:ascii="仿宋_GB2312" w:eastAsia="仿宋_GB2312" w:hAnsi="仿宋_GB2312" w:cs="仿宋_GB2312" w:hint="eastAsia"/>
          <w:sz w:val="32"/>
          <w:szCs w:val="32"/>
        </w:rPr>
        <w:t>员安全培训</w:t>
      </w:r>
      <w:r w:rsidR="007978DB">
        <w:rPr>
          <w:rFonts w:ascii="仿宋_GB2312" w:eastAsia="仿宋_GB2312" w:hAnsi="仿宋_GB2312" w:cs="仿宋_GB2312" w:hint="eastAsia"/>
          <w:sz w:val="32"/>
          <w:szCs w:val="32"/>
        </w:rPr>
        <w:t>制度，未开展特种设备作业人</w:t>
      </w:r>
      <w:r w:rsidR="007978DB" w:rsidRPr="007978DB">
        <w:rPr>
          <w:rFonts w:ascii="仿宋_GB2312" w:eastAsia="仿宋_GB2312" w:hAnsi="仿宋_GB2312" w:cs="仿宋_GB2312" w:hint="eastAsia"/>
          <w:sz w:val="32"/>
          <w:szCs w:val="32"/>
        </w:rPr>
        <w:t>员</w:t>
      </w:r>
      <w:r w:rsidR="007978DB">
        <w:rPr>
          <w:rFonts w:ascii="仿宋_GB2312" w:eastAsia="仿宋_GB2312" w:hAnsi="仿宋_GB2312" w:cs="仿宋_GB2312" w:hint="eastAsia"/>
          <w:sz w:val="32"/>
          <w:szCs w:val="32"/>
        </w:rPr>
        <w:t>安全教育</w:t>
      </w:r>
      <w:bookmarkEnd w:id="50"/>
      <w:r w:rsidR="007978DB">
        <w:rPr>
          <w:rFonts w:ascii="仿宋_GB2312" w:eastAsia="仿宋_GB2312" w:hAnsi="仿宋_GB2312" w:cs="仿宋_GB2312" w:hint="eastAsia"/>
          <w:sz w:val="32"/>
          <w:szCs w:val="32"/>
        </w:rPr>
        <w:t>。</w:t>
      </w:r>
      <w:r w:rsidR="007978DB">
        <w:rPr>
          <w:rFonts w:ascii="仿宋_GB2312" w:eastAsia="仿宋_GB2312" w:hAnsi="仿宋_GB2312" w:cs="仿宋_GB2312"/>
          <w:sz w:val="32"/>
          <w:szCs w:val="32"/>
        </w:rPr>
        <w:t xml:space="preserve"> </w:t>
      </w:r>
    </w:p>
    <w:p w:rsidR="00EF6661" w:rsidRDefault="00E25C2C">
      <w:pPr>
        <w:widowControl w:val="0"/>
        <w:snapToGrid/>
        <w:spacing w:after="0" w:line="560" w:lineRule="exact"/>
        <w:ind w:firstLineChars="200" w:firstLine="640"/>
        <w:contextualSpacing/>
        <w:rPr>
          <w:rFonts w:ascii="仿宋_GB2312" w:eastAsia="仿宋_GB2312" w:hAnsi="仿宋_GB2312" w:cs="仿宋_GB2312"/>
          <w:sz w:val="32"/>
          <w:szCs w:val="32"/>
        </w:rPr>
      </w:pPr>
      <w:bookmarkStart w:id="52" w:name="_Toc171328232"/>
      <w:r>
        <w:rPr>
          <w:rFonts w:ascii="仿宋_GB2312" w:eastAsia="仿宋_GB2312" w:hAnsi="仿宋_GB2312" w:cs="仿宋_GB2312" w:hint="eastAsia"/>
          <w:sz w:val="32"/>
          <w:szCs w:val="32"/>
        </w:rPr>
        <w:t>2.环球中通公司</w:t>
      </w:r>
      <w:r w:rsidR="007978DB">
        <w:rPr>
          <w:rFonts w:ascii="仿宋_GB2312" w:eastAsia="仿宋_GB2312" w:hAnsi="仿宋_GB2312" w:cs="仿宋_GB2312" w:hint="eastAsia"/>
          <w:sz w:val="32"/>
          <w:szCs w:val="32"/>
        </w:rPr>
        <w:t>未制定特种设备</w:t>
      </w:r>
      <w:r w:rsidR="007978DB" w:rsidRPr="007978DB">
        <w:rPr>
          <w:rFonts w:ascii="仿宋_GB2312" w:eastAsia="仿宋_GB2312" w:hAnsi="仿宋_GB2312" w:cs="仿宋_GB2312" w:hint="eastAsia"/>
          <w:sz w:val="32"/>
          <w:szCs w:val="32"/>
        </w:rPr>
        <w:t>安全</w:t>
      </w:r>
      <w:r w:rsidR="007978DB">
        <w:rPr>
          <w:rFonts w:ascii="仿宋_GB2312" w:eastAsia="仿宋_GB2312" w:hAnsi="仿宋_GB2312" w:cs="仿宋_GB2312" w:hint="eastAsia"/>
          <w:sz w:val="32"/>
          <w:szCs w:val="32"/>
        </w:rPr>
        <w:t>管理制度，</w:t>
      </w:r>
      <w:r>
        <w:rPr>
          <w:rFonts w:ascii="仿宋_GB2312" w:eastAsia="仿宋_GB2312" w:hAnsi="仿宋_GB2312" w:cs="仿宋_GB2312" w:hint="eastAsia"/>
          <w:sz w:val="32"/>
          <w:szCs w:val="32"/>
        </w:rPr>
        <w:t>未遵照《场（厂）内专用机动车辆安全技术监察规程》TSG N0001-2017 3.1.1(8)条</w:t>
      </w:r>
      <w:bookmarkStart w:id="53" w:name="_Hlk168435460"/>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footnoteReference w:id="7"/>
      </w:r>
      <w:bookmarkEnd w:id="53"/>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制定</w:t>
      </w:r>
      <w:bookmarkStart w:id="55" w:name="_Hlk168436956"/>
      <w:r>
        <w:rPr>
          <w:rFonts w:ascii="仿宋_GB2312" w:eastAsia="仿宋_GB2312" w:hAnsi="仿宋_GB2312" w:cs="仿宋_GB2312" w:hint="eastAsia"/>
          <w:sz w:val="32"/>
          <w:szCs w:val="32"/>
        </w:rPr>
        <w:t>叉车安全操作规程，至少包括系安全带、转弯减速、下坡减速和超高限速等要求</w:t>
      </w:r>
      <w:bookmarkEnd w:id="52"/>
      <w:bookmarkEnd w:id="55"/>
      <w:r w:rsidR="007978DB">
        <w:rPr>
          <w:rFonts w:ascii="仿宋_GB2312" w:eastAsia="仿宋_GB2312" w:hAnsi="仿宋_GB2312" w:cs="仿宋_GB2312" w:hint="eastAsia"/>
          <w:sz w:val="32"/>
          <w:szCs w:val="32"/>
        </w:rPr>
        <w:t>；未依据《安全生产法》</w:t>
      </w:r>
      <w:r w:rsidR="007978DB">
        <w:rPr>
          <w:rFonts w:ascii="仿宋_GB2312" w:eastAsia="仿宋_GB2312" w:hAnsi="仿宋_GB2312" w:cs="仿宋_GB2312" w:hint="eastAsia"/>
          <w:sz w:val="32"/>
          <w:szCs w:val="32"/>
        </w:rPr>
        <w:lastRenderedPageBreak/>
        <w:t>第四条</w:t>
      </w:r>
      <w:r w:rsidR="007978DB">
        <w:rPr>
          <w:rFonts w:ascii="仿宋_GB2312" w:eastAsia="仿宋_GB2312" w:hAnsi="仿宋_GB2312" w:cs="仿宋_GB2312" w:hint="eastAsia"/>
          <w:sz w:val="32"/>
          <w:szCs w:val="32"/>
          <w:vertAlign w:val="superscript"/>
        </w:rPr>
        <w:t>[</w:t>
      </w:r>
      <w:r w:rsidR="007978DB">
        <w:rPr>
          <w:rFonts w:ascii="仿宋_GB2312" w:eastAsia="仿宋_GB2312" w:hAnsi="仿宋_GB2312" w:cs="仿宋_GB2312" w:hint="eastAsia"/>
          <w:sz w:val="32"/>
          <w:szCs w:val="32"/>
          <w:vertAlign w:val="superscript"/>
        </w:rPr>
        <w:footnoteReference w:id="8"/>
      </w:r>
      <w:r w:rsidR="007978DB">
        <w:rPr>
          <w:rFonts w:ascii="仿宋_GB2312" w:eastAsia="仿宋_GB2312" w:hAnsi="仿宋_GB2312" w:cs="仿宋_GB2312" w:hint="eastAsia"/>
          <w:sz w:val="32"/>
          <w:szCs w:val="32"/>
          <w:vertAlign w:val="superscript"/>
        </w:rPr>
        <w:t>]</w:t>
      </w:r>
      <w:r w:rsidR="007978DB">
        <w:rPr>
          <w:rFonts w:ascii="仿宋_GB2312" w:eastAsia="仿宋_GB2312" w:hAnsi="仿宋_GB2312" w:cs="仿宋_GB2312" w:hint="eastAsia"/>
          <w:sz w:val="32"/>
          <w:szCs w:val="32"/>
        </w:rPr>
        <w:t>建立风险管控和隐患排查机制。</w:t>
      </w:r>
    </w:p>
    <w:p w:rsidR="00EF6661" w:rsidRDefault="00E25C2C">
      <w:pPr>
        <w:widowControl w:val="0"/>
        <w:snapToGrid/>
        <w:spacing w:after="0"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3.环球中通公司未参照《工业车辆使用、操作与维护安全规范(GB/T36507-2023》4.4.3.2条</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footnoteReference w:id="9"/>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、《工业企业厂内铁路、道路运输安全规程》（GB4387-2008）7.6.1.7条</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footnoteReference w:id="10"/>
      </w:r>
      <w:bookmarkStart w:id="56" w:name="_Hlk168436988"/>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对钢梁柱部位加限高警示标识。</w:t>
      </w:r>
      <w:bookmarkEnd w:id="56"/>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57" w:name="_Toc172188306"/>
      <w:r>
        <w:rPr>
          <w:rFonts w:ascii="楷体_GB2312" w:eastAsia="楷体_GB2312" w:hAnsi="楷体_GB2312" w:cs="楷体_GB2312" w:hint="eastAsia"/>
          <w:sz w:val="32"/>
          <w:szCs w:val="32"/>
        </w:rPr>
        <w:t>（三）监管履职情况</w:t>
      </w:r>
      <w:bookmarkEnd w:id="57"/>
    </w:p>
    <w:p w:rsidR="00EF6661" w:rsidRDefault="00E25C2C">
      <w:pPr>
        <w:widowControl w:val="0"/>
        <w:snapToGrid/>
        <w:spacing w:after="0" w:line="560" w:lineRule="exact"/>
        <w:ind w:firstLineChars="200" w:firstLine="640"/>
        <w:contextualSpacing/>
        <w:jc w:val="both"/>
        <w:rPr>
          <w:rFonts w:ascii="仿宋_GB2312" w:eastAsia="仿宋_GB2312" w:hAnsi="Times New Roman" w:cs="Times New Roman"/>
          <w:sz w:val="32"/>
          <w:szCs w:val="32"/>
        </w:rPr>
      </w:pPr>
      <w:bookmarkStart w:id="58" w:name="_Toc172188308"/>
      <w:r>
        <w:rPr>
          <w:rFonts w:ascii="仿宋_GB2312" w:eastAsia="仿宋_GB2312" w:cs="Times New Roman"/>
          <w:sz w:val="32"/>
          <w:szCs w:val="32"/>
        </w:rPr>
        <w:t>保税区特种设备安全监管工作按照《特种设备安全监督检查办法》（市场监管总局50号令）及天津市</w:t>
      </w:r>
      <w:r>
        <w:rPr>
          <w:rFonts w:ascii="仿宋_GB2312" w:eastAsia="仿宋_GB2312" w:cs="Times New Roman" w:hint="eastAsia"/>
          <w:sz w:val="32"/>
          <w:szCs w:val="32"/>
        </w:rPr>
        <w:t>人民政府《关于在市场监管领域全面推行部门联合“双随机、一公开”监管的实施办法》等相关规定，按照执法检查计划+专项模式开展。</w:t>
      </w:r>
      <w:r>
        <w:rPr>
          <w:rFonts w:ascii="仿宋_GB2312" w:eastAsia="仿宋_GB2312" w:hAnsi="Times New Roman" w:cs="Times New Roman" w:hint="eastAsia"/>
          <w:sz w:val="32"/>
          <w:szCs w:val="32"/>
        </w:rPr>
        <w:t>2023年度，保税区市场监管局按照年度检查计划，对天津远洋名富产业园开展了2次监督检查。当时，该园区内使用特种设备的单位只有永丰供应链管理（天津）有限公司，市场局于2023年3月进行了一次检查，并对企业整改情况进行确认。2023年7月，再次检查该园区时，永丰供应链公司已搬离该园区。至此，远洋名富产业园不再有特种设备使用单位。故2024年度检查计划中未列入远洋名富产业园，计划在上半年第一轮检查结束后，查遗补缺环节再对名富产业园进行一次查验。</w:t>
      </w:r>
      <w:bookmarkEnd w:id="58"/>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59" w:name="_Toc14104_WPSOffice_Level2"/>
      <w:bookmarkStart w:id="60" w:name="_Toc17083"/>
      <w:r>
        <w:rPr>
          <w:rFonts w:ascii="楷体_GB2312" w:eastAsia="楷体_GB2312" w:hAnsi="楷体_GB2312" w:cs="楷体_GB2312" w:hint="eastAsia"/>
          <w:sz w:val="32"/>
          <w:szCs w:val="32"/>
        </w:rPr>
        <w:lastRenderedPageBreak/>
        <w:t>（四）事故性质</w:t>
      </w:r>
      <w:bookmarkEnd w:id="59"/>
      <w:bookmarkEnd w:id="60"/>
    </w:p>
    <w:p w:rsidR="00EF6661" w:rsidRDefault="00E25C2C">
      <w:pPr>
        <w:widowControl w:val="0"/>
        <w:snapToGrid/>
        <w:spacing w:after="0"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经事故调查组认定，该事故是一起叉车相关车辆伤害事故（特种设备相关事故）。</w:t>
      </w:r>
    </w:p>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61" w:name="_Toc141372577"/>
      <w:bookmarkStart w:id="62" w:name="_Toc23747_WPSOffice_Level1"/>
      <w:bookmarkStart w:id="63" w:name="_Toc3359"/>
      <w:bookmarkStart w:id="64" w:name="_Toc27461_WPSOffice_Level1"/>
      <w:r>
        <w:rPr>
          <w:rFonts w:ascii="黑体" w:eastAsia="黑体" w:hAnsi="黑体" w:hint="eastAsia"/>
          <w:b w:val="0"/>
          <w:sz w:val="32"/>
          <w:szCs w:val="32"/>
        </w:rPr>
        <w:t>五、责任认定及处理建议</w:t>
      </w:r>
      <w:bookmarkEnd w:id="61"/>
      <w:bookmarkEnd w:id="62"/>
      <w:bookmarkEnd w:id="63"/>
      <w:bookmarkEnd w:id="64"/>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65" w:name="_Toc20187"/>
      <w:bookmarkStart w:id="66" w:name="_Toc17586_WPSOffice_Level2"/>
      <w:r>
        <w:rPr>
          <w:rFonts w:ascii="楷体_GB2312" w:eastAsia="楷体_GB2312" w:hAnsi="楷体_GB2312" w:cs="楷体_GB2312" w:hint="eastAsia"/>
          <w:sz w:val="32"/>
          <w:szCs w:val="32"/>
        </w:rPr>
        <w:t>（一）事故责任单位的责任认定及处理建议</w:t>
      </w:r>
      <w:bookmarkEnd w:id="65"/>
      <w:bookmarkEnd w:id="66"/>
    </w:p>
    <w:p w:rsidR="00EF6661" w:rsidRDefault="00E25C2C">
      <w:pPr>
        <w:widowControl w:val="0"/>
        <w:snapToGrid/>
        <w:spacing w:after="0" w:line="560" w:lineRule="exact"/>
        <w:ind w:firstLineChars="200" w:firstLine="640"/>
        <w:contextualSpacing/>
        <w:jc w:val="both"/>
        <w:rPr>
          <w:rFonts w:ascii="仿宋_GB2312" w:eastAsia="仿宋_GB2312" w:hAnsi="仿宋_GB2312" w:cs="仿宋_GB2312"/>
          <w:sz w:val="32"/>
          <w:szCs w:val="32"/>
        </w:rPr>
      </w:pPr>
      <w:bookmarkStart w:id="67" w:name="_Toc153350502"/>
      <w:bookmarkStart w:id="68" w:name="_Toc1984_WPSOffice_Level2"/>
      <w:r>
        <w:rPr>
          <w:rFonts w:ascii="仿宋_GB2312" w:eastAsia="仿宋_GB2312" w:hAnsi="仿宋_GB2312" w:cs="仿宋_GB2312" w:hint="eastAsia"/>
          <w:sz w:val="32"/>
          <w:szCs w:val="32"/>
        </w:rPr>
        <w:t>环球中通公司未建立风险管控和隐患排查机制、权利制度缺失、未能制止员工违章作业，安全交底不足，安全教育和培训不到位，对事故发生负有直接责任。</w:t>
      </w:r>
      <w:bookmarkEnd w:id="67"/>
      <w:r>
        <w:rPr>
          <w:rFonts w:ascii="仿宋_GB2312" w:eastAsia="仿宋_GB2312" w:hAnsi="仿宋_GB2312" w:cs="仿宋_GB2312" w:hint="eastAsia"/>
          <w:sz w:val="32"/>
          <w:szCs w:val="32"/>
        </w:rPr>
        <w:t>其行为违反了《中华人民共和国特种设备安全法》第十三条第一款之规定。建议天津港保税区市场监督管理局依据《中华人民共和国特种设备安全法》第九十条第（一）项之规定对其给予贰拾万元罚款的行政处罚。</w:t>
      </w:r>
    </w:p>
    <w:p w:rsidR="00EF6661" w:rsidRDefault="00E25C2C">
      <w:pPr>
        <w:widowControl w:val="0"/>
        <w:snapToGrid/>
        <w:spacing w:after="0" w:line="560" w:lineRule="exact"/>
        <w:ind w:firstLineChars="200" w:firstLine="640"/>
        <w:contextualSpacing/>
        <w:outlineLvl w:val="1"/>
        <w:rPr>
          <w:rFonts w:ascii="楷体_GB2312" w:eastAsia="楷体_GB2312" w:hAnsi="楷体_GB2312" w:cs="楷体_GB2312"/>
          <w:sz w:val="32"/>
          <w:szCs w:val="32"/>
        </w:rPr>
      </w:pPr>
      <w:bookmarkStart w:id="69" w:name="_Toc13472"/>
      <w:r>
        <w:rPr>
          <w:rFonts w:ascii="楷体_GB2312" w:eastAsia="楷体_GB2312" w:hAnsi="楷体_GB2312" w:cs="楷体_GB2312" w:hint="eastAsia"/>
          <w:sz w:val="32"/>
          <w:szCs w:val="32"/>
        </w:rPr>
        <w:t>（二）事故责任人员的责任认定及处理建议</w:t>
      </w:r>
      <w:bookmarkEnd w:id="68"/>
      <w:bookmarkEnd w:id="69"/>
    </w:p>
    <w:p w:rsidR="00EF6661" w:rsidRDefault="00E25C2C">
      <w:pPr>
        <w:widowControl w:val="0"/>
        <w:snapToGrid/>
        <w:spacing w:after="0" w:line="560" w:lineRule="exact"/>
        <w:ind w:firstLineChars="200" w:firstLine="643"/>
        <w:contextualSpacing/>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FA392D">
        <w:rPr>
          <w:rFonts w:ascii="仿宋_GB2312" w:eastAsia="仿宋_GB2312" w:hAnsi="仿宋_GB2312" w:cs="仿宋_GB2312" w:hint="eastAsia"/>
          <w:b/>
          <w:bCs/>
          <w:sz w:val="32"/>
          <w:szCs w:val="32"/>
        </w:rPr>
        <w:t>段XX</w:t>
      </w:r>
    </w:p>
    <w:p w:rsidR="00EF6661" w:rsidRDefault="00FA392D">
      <w:pPr>
        <w:widowControl w:val="0"/>
        <w:snapToGrid/>
        <w:spacing w:after="0" w:line="560" w:lineRule="exact"/>
        <w:ind w:firstLineChars="200" w:firstLine="640"/>
        <w:contextualSpacing/>
        <w:jc w:val="both"/>
        <w:rPr>
          <w:rFonts w:ascii="仿宋_GB2312" w:eastAsia="仿宋_GB2312" w:hAnsi="仿宋_GB2312" w:cs="仿宋_GB2312"/>
          <w:bCs/>
          <w:strike/>
          <w:sz w:val="32"/>
          <w:szCs w:val="32"/>
        </w:rPr>
      </w:pPr>
      <w:r>
        <w:rPr>
          <w:rFonts w:ascii="仿宋_GB2312" w:eastAsia="仿宋_GB2312" w:hAnsi="仿宋_GB2312" w:cs="仿宋_GB2312" w:hint="eastAsia"/>
          <w:bCs/>
          <w:sz w:val="32"/>
          <w:szCs w:val="32"/>
        </w:rPr>
        <w:t>段XX</w:t>
      </w:r>
      <w:r w:rsidR="00E25C2C">
        <w:rPr>
          <w:rFonts w:ascii="仿宋_GB2312" w:eastAsia="仿宋_GB2312" w:hAnsi="仿宋_GB2312" w:cs="仿宋_GB2312" w:hint="eastAsia"/>
          <w:bCs/>
          <w:sz w:val="32"/>
          <w:szCs w:val="32"/>
        </w:rPr>
        <w:t>，环球中通公司叉车司机，</w:t>
      </w:r>
      <w:r w:rsidR="00E25C2C">
        <w:rPr>
          <w:rFonts w:ascii="仿宋" w:eastAsia="仿宋" w:hAnsi="仿宋" w:cs="仿宋" w:hint="eastAsia"/>
          <w:sz w:val="32"/>
          <w:szCs w:val="32"/>
        </w:rPr>
        <w:t>超速、超高驾驶叉车，未佩戴安全带，</w:t>
      </w:r>
      <w:r w:rsidR="00E25C2C">
        <w:rPr>
          <w:rFonts w:ascii="仿宋_GB2312" w:eastAsia="仿宋_GB2312" w:hAnsi="仿宋_GB2312" w:cs="仿宋_GB2312" w:hint="eastAsia"/>
          <w:bCs/>
          <w:sz w:val="32"/>
          <w:szCs w:val="32"/>
        </w:rPr>
        <w:t>违章作业导致事故发生，对事故的发生负有主要责任。鉴于其已在事故中死亡，不再追究其责任。</w:t>
      </w:r>
    </w:p>
    <w:p w:rsidR="00EF6661" w:rsidRDefault="00E25C2C">
      <w:pPr>
        <w:widowControl w:val="0"/>
        <w:snapToGrid/>
        <w:spacing w:after="0" w:line="560" w:lineRule="exact"/>
        <w:ind w:firstLineChars="200" w:firstLine="643"/>
        <w:contextualSpacing/>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FA392D">
        <w:rPr>
          <w:rFonts w:ascii="仿宋_GB2312" w:eastAsia="仿宋_GB2312" w:hAnsi="仿宋_GB2312" w:cs="仿宋_GB2312" w:hint="eastAsia"/>
          <w:b/>
          <w:bCs/>
          <w:sz w:val="32"/>
          <w:szCs w:val="32"/>
        </w:rPr>
        <w:t>梁XX</w:t>
      </w:r>
    </w:p>
    <w:p w:rsidR="00EF6661" w:rsidRDefault="00FA392D">
      <w:pPr>
        <w:widowControl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梁XX</w:t>
      </w:r>
      <w:r w:rsidR="00E25C2C">
        <w:rPr>
          <w:rFonts w:ascii="仿宋_GB2312" w:eastAsia="仿宋_GB2312" w:hAnsi="仿宋_GB2312" w:cs="仿宋_GB2312" w:hint="eastAsia"/>
          <w:bCs/>
          <w:sz w:val="32"/>
          <w:szCs w:val="32"/>
        </w:rPr>
        <w:t>，环球中通公司总经理。负责本单位的生产经营和安全生产工作，督促、检查本单位安全生产工作不力，对安全生产责任制、安全生产规章制度的建立健全及落实监督、检查不到位，对现场作业存在的安全风险未能及时排查，对该起事故</w:t>
      </w:r>
      <w:r w:rsidR="00E25C2C">
        <w:rPr>
          <w:rFonts w:ascii="仿宋_GB2312" w:eastAsia="仿宋_GB2312" w:hAnsi="仿宋_GB2312" w:cs="仿宋_GB2312" w:hint="eastAsia"/>
          <w:bCs/>
          <w:sz w:val="32"/>
          <w:szCs w:val="32"/>
        </w:rPr>
        <w:lastRenderedPageBreak/>
        <w:t>负有主要领导责任</w:t>
      </w:r>
      <w:r w:rsidR="00E25C2C">
        <w:rPr>
          <w:rFonts w:ascii="仿宋_GB2312" w:eastAsia="仿宋_GB2312" w:hAnsi="仿宋_GB2312" w:cs="仿宋_GB2312" w:hint="eastAsia"/>
          <w:sz w:val="32"/>
          <w:szCs w:val="32"/>
        </w:rPr>
        <w:t>。其行为违反了《中华人民共和国特种设备安全法》第十三条第一款</w:t>
      </w:r>
      <w:r w:rsidR="00E25C2C">
        <w:rPr>
          <w:rStyle w:val="ac"/>
          <w:rFonts w:ascii="仿宋_GB2312" w:eastAsia="仿宋_GB2312" w:hAnsi="仿宋_GB2312" w:cs="仿宋_GB2312"/>
          <w:sz w:val="32"/>
          <w:szCs w:val="32"/>
        </w:rPr>
        <w:t>[</w:t>
      </w:r>
      <w:r w:rsidR="00E25C2C">
        <w:rPr>
          <w:rStyle w:val="ac"/>
          <w:rFonts w:ascii="仿宋_GB2312" w:eastAsia="仿宋_GB2312" w:hAnsi="仿宋_GB2312" w:cs="仿宋_GB2312"/>
          <w:sz w:val="32"/>
          <w:szCs w:val="32"/>
        </w:rPr>
        <w:footnoteReference w:id="11"/>
      </w:r>
      <w:r w:rsidR="00E25C2C">
        <w:rPr>
          <w:rStyle w:val="ac"/>
          <w:rFonts w:ascii="仿宋_GB2312" w:eastAsia="仿宋_GB2312" w:hAnsi="仿宋_GB2312" w:cs="仿宋_GB2312"/>
          <w:sz w:val="32"/>
          <w:szCs w:val="32"/>
        </w:rPr>
        <w:t>]</w:t>
      </w:r>
      <w:r w:rsidR="00E25C2C">
        <w:rPr>
          <w:rFonts w:ascii="仿宋_GB2312" w:eastAsia="仿宋_GB2312" w:hAnsi="仿宋_GB2312" w:cs="仿宋_GB2312" w:hint="eastAsia"/>
          <w:sz w:val="32"/>
          <w:szCs w:val="32"/>
        </w:rPr>
        <w:t>之规定。</w:t>
      </w:r>
      <w:r w:rsidR="00E25C2C">
        <w:rPr>
          <w:rFonts w:ascii="仿宋_GB2312" w:eastAsia="仿宋_GB2312" w:hAnsi="仿宋_GB2312" w:cs="仿宋_GB2312" w:hint="eastAsia"/>
          <w:bCs/>
          <w:sz w:val="32"/>
          <w:szCs w:val="32"/>
        </w:rPr>
        <w:t>建议天津港保税区市场监督管理局依据《中华人民共和国特种设备安全法》</w:t>
      </w:r>
      <w:r w:rsidR="00E25C2C">
        <w:rPr>
          <w:rFonts w:ascii="仿宋_GB2312" w:eastAsia="仿宋_GB2312" w:hAnsi="仿宋_GB2312" w:cs="仿宋_GB2312" w:hint="eastAsia"/>
          <w:sz w:val="32"/>
          <w:szCs w:val="32"/>
        </w:rPr>
        <w:t>第九十一条第（一）项</w:t>
      </w:r>
      <w:r w:rsidR="00E25C2C">
        <w:rPr>
          <w:rStyle w:val="ac"/>
          <w:rFonts w:ascii="仿宋_GB2312" w:eastAsia="仿宋_GB2312" w:hAnsi="仿宋_GB2312" w:cs="仿宋_GB2312" w:hint="eastAsia"/>
          <w:sz w:val="32"/>
          <w:szCs w:val="32"/>
        </w:rPr>
        <w:t>[</w:t>
      </w:r>
      <w:r w:rsidR="00E25C2C">
        <w:rPr>
          <w:rStyle w:val="ac"/>
          <w:rFonts w:ascii="仿宋_GB2312" w:eastAsia="仿宋_GB2312" w:hAnsi="仿宋_GB2312" w:cs="仿宋_GB2312" w:hint="eastAsia"/>
          <w:sz w:val="32"/>
          <w:szCs w:val="32"/>
        </w:rPr>
        <w:footnoteReference w:id="12"/>
      </w:r>
      <w:r w:rsidR="00E25C2C">
        <w:rPr>
          <w:rStyle w:val="ac"/>
          <w:rFonts w:ascii="仿宋_GB2312" w:eastAsia="仿宋_GB2312" w:hAnsi="仿宋_GB2312" w:cs="仿宋_GB2312" w:hint="eastAsia"/>
          <w:sz w:val="32"/>
          <w:szCs w:val="32"/>
        </w:rPr>
        <w:t>]</w:t>
      </w:r>
      <w:r w:rsidR="00E25C2C">
        <w:rPr>
          <w:rFonts w:ascii="仿宋_GB2312" w:eastAsia="仿宋_GB2312" w:hAnsi="仿宋_GB2312" w:cs="仿宋_GB2312" w:hint="eastAsia"/>
          <w:sz w:val="32"/>
          <w:szCs w:val="32"/>
        </w:rPr>
        <w:t>之规定给予其上一年年收入百分之三十的行政处罚。</w:t>
      </w:r>
    </w:p>
    <w:p w:rsidR="00EF6661" w:rsidRDefault="00E25C2C">
      <w:pPr>
        <w:pStyle w:val="1"/>
        <w:snapToGrid/>
        <w:spacing w:after="0" w:line="560" w:lineRule="exact"/>
        <w:ind w:firstLineChars="200" w:firstLine="640"/>
        <w:contextualSpacing/>
        <w:rPr>
          <w:rFonts w:ascii="黑体" w:eastAsia="黑体" w:hAnsi="黑体"/>
          <w:b w:val="0"/>
          <w:sz w:val="32"/>
          <w:szCs w:val="32"/>
        </w:rPr>
      </w:pPr>
      <w:bookmarkStart w:id="70" w:name="_Toc6486"/>
      <w:bookmarkStart w:id="71" w:name="_Toc6706_WPSOffice_Level1"/>
      <w:bookmarkStart w:id="72" w:name="_Toc141372578"/>
      <w:bookmarkStart w:id="73" w:name="_Toc8023_WPSOffice_Level1"/>
      <w:r>
        <w:rPr>
          <w:rFonts w:ascii="黑体" w:eastAsia="黑体" w:hAnsi="黑体" w:hint="eastAsia"/>
          <w:b w:val="0"/>
          <w:sz w:val="32"/>
          <w:szCs w:val="32"/>
        </w:rPr>
        <w:t>六、事故防范和整改措施</w:t>
      </w:r>
      <w:bookmarkEnd w:id="70"/>
      <w:bookmarkEnd w:id="71"/>
      <w:bookmarkEnd w:id="72"/>
      <w:bookmarkEnd w:id="73"/>
    </w:p>
    <w:p w:rsidR="00EF6661" w:rsidRDefault="00E25C2C">
      <w:pPr>
        <w:autoSpaceDE w:val="0"/>
        <w:autoSpaceDN w:val="0"/>
        <w:spacing w:after="0" w:line="560" w:lineRule="exact"/>
        <w:ind w:firstLineChars="200" w:firstLine="640"/>
        <w:outlineLvl w:val="1"/>
        <w:rPr>
          <w:rFonts w:ascii="楷体" w:eastAsia="楷体" w:hAnsi="楷体" w:cs="楷体"/>
          <w:sz w:val="32"/>
          <w:szCs w:val="32"/>
          <w:lang w:val="zh-CN"/>
        </w:rPr>
      </w:pPr>
      <w:bookmarkStart w:id="74" w:name="_Toc9299"/>
      <w:r>
        <w:rPr>
          <w:rFonts w:ascii="楷体" w:eastAsia="楷体" w:hAnsi="楷体" w:cs="楷体" w:hint="eastAsia"/>
          <w:bCs/>
          <w:sz w:val="32"/>
          <w:szCs w:val="32"/>
        </w:rPr>
        <w:t>（一）环球中通公司</w:t>
      </w:r>
      <w:bookmarkEnd w:id="74"/>
    </w:p>
    <w:p w:rsidR="00EF6661" w:rsidRDefault="00E25C2C">
      <w:pPr>
        <w:autoSpaceDE w:val="0"/>
        <w:autoSpaceDN w:val="0"/>
        <w:spacing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1.通过对事故的调查，发现</w:t>
      </w:r>
      <w:r>
        <w:rPr>
          <w:rFonts w:ascii="仿宋_GB2312" w:eastAsia="仿宋_GB2312" w:hAnsi="仿宋_GB2312" w:cs="仿宋_GB2312" w:hint="eastAsia"/>
          <w:sz w:val="32"/>
          <w:szCs w:val="32"/>
        </w:rPr>
        <w:t>环球中通公司</w:t>
      </w:r>
      <w:r>
        <w:rPr>
          <w:rFonts w:ascii="仿宋_GB2312" w:eastAsia="仿宋_GB2312" w:hAnsi="仿宋_GB2312" w:cs="仿宋_GB2312" w:hint="eastAsia"/>
          <w:bCs/>
          <w:sz w:val="32"/>
          <w:szCs w:val="32"/>
          <w:lang w:val="zh-CN"/>
        </w:rPr>
        <w:t>在特种设备</w:t>
      </w:r>
      <w:r>
        <w:rPr>
          <w:rFonts w:ascii="仿宋_GB2312" w:eastAsia="仿宋_GB2312" w:hAnsi="仿宋_GB2312" w:cs="仿宋_GB2312" w:hint="eastAsia"/>
          <w:sz w:val="32"/>
          <w:szCs w:val="32"/>
          <w:lang w:val="zh-CN"/>
        </w:rPr>
        <w:t>安全管理方面存在着漏洞。该</w:t>
      </w:r>
      <w:r>
        <w:rPr>
          <w:rFonts w:ascii="仿宋_GB2312" w:eastAsia="仿宋_GB2312" w:hAnsi="仿宋_GB2312" w:cs="仿宋_GB2312" w:hint="eastAsia"/>
          <w:bCs/>
          <w:sz w:val="32"/>
          <w:szCs w:val="32"/>
          <w:lang w:val="zh-CN"/>
        </w:rPr>
        <w:t>公司应该认真汲取事故教训，</w:t>
      </w:r>
      <w:r>
        <w:rPr>
          <w:rFonts w:ascii="仿宋_GB2312" w:eastAsia="仿宋_GB2312" w:hAnsi="仿宋_GB2312" w:cs="仿宋_GB2312" w:hint="eastAsia"/>
          <w:sz w:val="32"/>
          <w:szCs w:val="32"/>
        </w:rPr>
        <w:t>牢固树立安全发展理念，坚持“安全第一、预防为主、综合治理”的方针，在今后的生产经营活动中，必须严格遵守《中华人民共和国安全生产法》《中华人民共和国特种设备安全法》等法律法规和规章的规定，落实企业安全生产主体责任，认真落实各项安全生产管理制度</w:t>
      </w:r>
      <w:r>
        <w:rPr>
          <w:rFonts w:ascii="仿宋_GB2312" w:eastAsia="仿宋_GB2312" w:hAnsi="仿宋_GB2312" w:cs="仿宋_GB2312" w:hint="eastAsia"/>
          <w:bCs/>
          <w:sz w:val="32"/>
          <w:szCs w:val="32"/>
          <w:lang w:val="zh-CN"/>
        </w:rPr>
        <w:t>，加强对员工的安全教育培训，及时消除隐患，杜绝违章指挥、违章作业、违反劳动纪律的问题，有</w:t>
      </w:r>
      <w:r>
        <w:rPr>
          <w:rFonts w:ascii="仿宋_GB2312" w:eastAsia="仿宋_GB2312" w:hAnsi="仿宋_GB2312" w:cs="仿宋_GB2312" w:hint="eastAsia"/>
          <w:sz w:val="32"/>
          <w:szCs w:val="32"/>
        </w:rPr>
        <w:t>效防止各类事故的发生。</w:t>
      </w:r>
    </w:p>
    <w:p w:rsidR="00EF6661" w:rsidRDefault="00E25C2C">
      <w:pPr>
        <w:widowControl w:val="0"/>
        <w:autoSpaceDE w:val="0"/>
        <w:autoSpaceDN w:val="0"/>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采取有力措施进一步完善健全和落实好公司内部的各项特种设备安全管理制度、安全操作规程，使规程覆盖到每一个岗位，落实到每一个特种设备作业人员，用严格有效的管理制度规范全体特种设备作业人员的行为，消除人的不安全行为和</w:t>
      </w:r>
      <w:r>
        <w:rPr>
          <w:rFonts w:ascii="仿宋_GB2312" w:eastAsia="仿宋_GB2312" w:hAnsi="仿宋_GB2312" w:cs="仿宋_GB2312" w:hint="eastAsia"/>
          <w:sz w:val="32"/>
          <w:szCs w:val="32"/>
        </w:rPr>
        <w:lastRenderedPageBreak/>
        <w:t>设备的不安全状态。</w:t>
      </w:r>
    </w:p>
    <w:p w:rsidR="00EF6661" w:rsidRDefault="00E25C2C">
      <w:pPr>
        <w:widowControl w:val="0"/>
        <w:autoSpaceDE w:val="0"/>
        <w:autoSpaceDN w:val="0"/>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3.要加强对特种设备作业人员的安全教育培训，进一步提高特种</w:t>
      </w:r>
      <w:r w:rsidR="000718A2">
        <w:rPr>
          <w:rFonts w:ascii="仿宋_GB2312" w:eastAsia="仿宋_GB2312" w:hAnsi="仿宋_GB2312" w:cs="仿宋_GB2312" w:hint="eastAsia"/>
          <w:sz w:val="32"/>
          <w:szCs w:val="32"/>
        </w:rPr>
        <w:t>设备</w:t>
      </w:r>
      <w:r>
        <w:rPr>
          <w:rFonts w:ascii="仿宋_GB2312" w:eastAsia="仿宋_GB2312" w:hAnsi="仿宋_GB2312" w:cs="仿宋_GB2312" w:hint="eastAsia"/>
          <w:sz w:val="32"/>
          <w:szCs w:val="32"/>
        </w:rPr>
        <w:t>作业人员的安全意识和安全素质，防止特种设备作业人员在工作中产生麻痹思想，确保操作规程的遵守和安全措施的落实。</w:t>
      </w:r>
    </w:p>
    <w:p w:rsidR="00EF6661" w:rsidRDefault="00E25C2C">
      <w:pPr>
        <w:widowControl w:val="0"/>
        <w:autoSpaceDE w:val="0"/>
        <w:autoSpaceDN w:val="0"/>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4.要加强对特种设备作业现场的安全管理，全面检查并消除特种设备作业现场的安全隐患问题，加强对特种设备作业现场危险源的识别和控制。要安排专职安全员加强安全巡查，及时发现并消除事故隐患。</w:t>
      </w:r>
    </w:p>
    <w:p w:rsidR="00EF6661" w:rsidRDefault="00E25C2C">
      <w:pPr>
        <w:autoSpaceDE w:val="0"/>
        <w:autoSpaceDN w:val="0"/>
        <w:spacing w:after="0" w:line="560" w:lineRule="exact"/>
        <w:ind w:firstLineChars="200" w:firstLine="640"/>
        <w:outlineLvl w:val="1"/>
        <w:rPr>
          <w:rFonts w:ascii="楷体" w:eastAsia="楷体" w:hAnsi="楷体" w:cs="楷体"/>
          <w:bCs/>
          <w:sz w:val="32"/>
          <w:szCs w:val="32"/>
        </w:rPr>
      </w:pPr>
      <w:bookmarkStart w:id="75" w:name="_Toc9835"/>
      <w:r>
        <w:rPr>
          <w:rFonts w:ascii="楷体" w:eastAsia="楷体" w:hAnsi="楷体" w:cs="楷体" w:hint="eastAsia"/>
          <w:bCs/>
          <w:sz w:val="32"/>
          <w:szCs w:val="32"/>
        </w:rPr>
        <w:t>（二）名富物流公司</w:t>
      </w:r>
      <w:bookmarkEnd w:id="75"/>
    </w:p>
    <w:p w:rsidR="00EF6661" w:rsidRDefault="00E25C2C">
      <w:pPr>
        <w:widowControl w:val="0"/>
        <w:autoSpaceDE w:val="0"/>
        <w:autoSpaceDN w:val="0"/>
        <w:snapToGrid/>
        <w:spacing w:after="0" w:line="560" w:lineRule="exact"/>
        <w:ind w:firstLineChars="200" w:firstLine="640"/>
        <w:contextualSpacing/>
        <w:jc w:val="both"/>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天津名富物流有限公司</w:t>
      </w:r>
      <w:r>
        <w:rPr>
          <w:rFonts w:ascii="仿宋_GB2312" w:eastAsia="仿宋_GB2312" w:hAnsi="仿宋_GB2312" w:cs="仿宋_GB2312" w:hint="eastAsia"/>
          <w:sz w:val="32"/>
          <w:szCs w:val="32"/>
          <w:lang w:val="zh-CN"/>
        </w:rPr>
        <w:t>作为园区仓库出租单位，建议加强对各租户特种设备的安全进行进一步统一协调管理，加强特种设备作业外包单位的资质审查,深入分析事故发生原因，进一步加强对企业及外包单位的特种设备和人员管理，进行动态全覆盖检查，避免类似事故发生。</w:t>
      </w:r>
    </w:p>
    <w:p w:rsidR="00EF6661" w:rsidRDefault="00E25C2C">
      <w:pPr>
        <w:autoSpaceDE w:val="0"/>
        <w:autoSpaceDN w:val="0"/>
        <w:spacing w:after="0" w:line="560" w:lineRule="exact"/>
        <w:ind w:firstLineChars="200" w:firstLine="640"/>
        <w:outlineLvl w:val="1"/>
        <w:rPr>
          <w:rFonts w:ascii="楷体" w:eastAsia="楷体" w:hAnsi="楷体" w:cs="楷体"/>
          <w:bCs/>
          <w:sz w:val="32"/>
          <w:szCs w:val="32"/>
        </w:rPr>
      </w:pPr>
      <w:bookmarkStart w:id="76" w:name="_GoBack"/>
      <w:bookmarkEnd w:id="76"/>
      <w:r>
        <w:rPr>
          <w:rFonts w:ascii="楷体" w:eastAsia="楷体" w:hAnsi="楷体" w:cs="楷体" w:hint="eastAsia"/>
          <w:bCs/>
          <w:sz w:val="32"/>
          <w:szCs w:val="32"/>
        </w:rPr>
        <w:t>（三）保税区市场监管局</w:t>
      </w:r>
    </w:p>
    <w:p w:rsidR="00EF6661" w:rsidRDefault="00E25C2C">
      <w:pPr>
        <w:widowControl w:val="0"/>
        <w:autoSpaceDE w:val="0"/>
        <w:autoSpaceDN w:val="0"/>
        <w:snapToGrid/>
        <w:spacing w:after="0"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 w:hint="eastAsia"/>
          <w:sz w:val="32"/>
          <w:szCs w:val="32"/>
        </w:rPr>
        <w:t>区市场监管局要根据有关法律法规规定、国家有关安全技术规范要求和部门工作职能，加强特种设备使用单位的监督检查，督促企业落实安全生产主体责任，及时检查发现并排除生产安全事故隐患。</w:t>
      </w:r>
    </w:p>
    <w:p w:rsidR="00EF6661" w:rsidRDefault="00E25C2C" w:rsidP="007978DB">
      <w:pPr>
        <w:snapToGrid/>
        <w:spacing w:after="0" w:line="560" w:lineRule="exact"/>
        <w:ind w:firstLineChars="1683" w:firstLine="5386"/>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2520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16”事故调查组</w:t>
      </w:r>
    </w:p>
    <w:p w:rsidR="00EF6661" w:rsidRDefault="00E25C2C">
      <w:pPr>
        <w:snapToGrid/>
        <w:spacing w:after="0" w:line="560" w:lineRule="exact"/>
        <w:contextualSpacing/>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2024年7月17日</w:t>
      </w:r>
    </w:p>
    <w:sectPr w:rsidR="00EF6661" w:rsidSect="00EF6661">
      <w:footerReference w:type="default" r:id="rId9"/>
      <w:footnotePr>
        <w:numRestart w:val="eachPage"/>
      </w:footnotePr>
      <w:pgSz w:w="11906" w:h="16838"/>
      <w:pgMar w:top="2098" w:right="1474" w:bottom="1984" w:left="1587" w:header="708" w:footer="70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54" w:rsidRDefault="00976B54" w:rsidP="00EF6661">
      <w:pPr>
        <w:spacing w:after="0"/>
      </w:pPr>
      <w:r>
        <w:separator/>
      </w:r>
    </w:p>
  </w:endnote>
  <w:endnote w:type="continuationSeparator" w:id="1">
    <w:p w:rsidR="00976B54" w:rsidRDefault="00976B54" w:rsidP="00EF66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61" w:rsidRDefault="00EF66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61" w:rsidRDefault="00FB7728">
    <w:pPr>
      <w:pStyle w:val="a5"/>
    </w:pPr>
    <w:r>
      <w:pict>
        <v:shapetype id="_x0000_t202" coordsize="21600,21600" o:spt="202" path="m,l,21600r21600,l21600,xe">
          <v:stroke joinstyle="miter"/>
          <v:path gradientshapeok="t" o:connecttype="rect"/>
        </v:shapetype>
        <v:shape id="Text Box 1026" o:spid="_x0000_s4097" type="#_x0000_t202" style="position:absolute;margin-left:0;margin-top:0;width:22.05pt;height:20.85pt;z-index:251659264;mso-position-horizontal:center;mso-position-horizontal-relative:margin" o:gfxdata="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B&#10;u0Op0QAAAAMBAAAPAAAAAAAAAAEAIAAAACIAAABkcnMvZG93bnJldi54bWxQSwECFAAUAAAACACH&#10;TuJAlIZHm7kBAACNAwAADgAAAAAAAAABACAAAAAgAQAAZHJzL2Uyb0RvYy54bWxQSwUGAAAAAAYA&#10;BgBZAQAASwUAAAAA&#10;" filled="f" stroked="f">
          <v:textbox style="mso-fit-shape-to-text:t" inset="0,0,0,0">
            <w:txbxContent>
              <w:p w:rsidR="00EF6661" w:rsidRDefault="00FB7728">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E25C2C">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25203F">
                  <w:rPr>
                    <w:rFonts w:ascii="仿宋_GB2312" w:eastAsia="仿宋_GB2312" w:hAnsi="仿宋_GB2312" w:cs="仿宋_GB2312"/>
                    <w:noProof/>
                    <w:sz w:val="24"/>
                    <w:szCs w:val="24"/>
                  </w:rPr>
                  <w:t>1</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54" w:rsidRDefault="00976B54">
      <w:pPr>
        <w:spacing w:after="0"/>
      </w:pPr>
      <w:r>
        <w:separator/>
      </w:r>
    </w:p>
  </w:footnote>
  <w:footnote w:type="continuationSeparator" w:id="1">
    <w:p w:rsidR="00976B54" w:rsidRDefault="00976B54">
      <w:pPr>
        <w:spacing w:after="0"/>
      </w:pPr>
      <w:r>
        <w:continuationSeparator/>
      </w:r>
    </w:p>
  </w:footnote>
  <w:footnote w:id="2">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《工业企业厂内铁路、道路运输安全规程》（</w:t>
      </w:r>
      <w:r>
        <w:rPr>
          <w:rStyle w:val="ac"/>
          <w:rFonts w:ascii="Times New Roman" w:eastAsiaTheme="minorEastAsia" w:hAnsi="Times New Roman" w:cs="Times New Roman"/>
          <w:kern w:val="2"/>
          <w:szCs w:val="24"/>
          <w:vertAlign w:val="baseline"/>
        </w:rPr>
        <w:t>GB4387-2008</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1</w:t>
      </w:r>
      <w:r>
        <w:rPr>
          <w:rStyle w:val="ac"/>
          <w:rFonts w:ascii="Times New Roman" w:eastAsiaTheme="minorEastAsia" w:hAnsi="Times New Roman" w:cs="Times New Roman"/>
          <w:kern w:val="2"/>
          <w:szCs w:val="24"/>
          <w:vertAlign w:val="baseline"/>
        </w:rPr>
        <w:t>范围：本标准适用于工业企业厂内铁路、道路运输，矿山和物资仓库的铁路和道路运输亦可参照使用，不适用于林场、建筑工地以及铁道、交通、公安部门管辖的铁路和道路运输。</w:t>
      </w:r>
    </w:p>
  </w:footnote>
  <w:footnote w:id="3">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bookmarkStart w:id="44" w:name="_Hlk168434430"/>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w:t>
      </w:r>
      <w:bookmarkEnd w:id="44"/>
      <w:r>
        <w:rPr>
          <w:rStyle w:val="ac"/>
          <w:rFonts w:ascii="Times New Roman" w:eastAsiaTheme="minorEastAsia" w:hAnsi="Times New Roman" w:cs="Times New Roman"/>
          <w:kern w:val="2"/>
          <w:szCs w:val="24"/>
          <w:vertAlign w:val="baseline"/>
        </w:rPr>
        <w:t>工业企业厂内铁路、道路运输安全规程》（</w:t>
      </w:r>
      <w:r>
        <w:rPr>
          <w:rStyle w:val="ac"/>
          <w:rFonts w:ascii="Times New Roman" w:eastAsiaTheme="minorEastAsia" w:hAnsi="Times New Roman" w:cs="Times New Roman"/>
          <w:kern w:val="2"/>
          <w:szCs w:val="24"/>
          <w:vertAlign w:val="baseline"/>
        </w:rPr>
        <w:t>GB4387-2008</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6.4.2</w:t>
      </w:r>
      <w:r>
        <w:rPr>
          <w:rStyle w:val="ac"/>
          <w:rFonts w:ascii="Times New Roman" w:eastAsiaTheme="minorEastAsia" w:hAnsi="Times New Roman" w:cs="Times New Roman"/>
          <w:kern w:val="2"/>
          <w:szCs w:val="24"/>
          <w:vertAlign w:val="baseline"/>
        </w:rPr>
        <w:t>进出厂房、仓库、车间大门、停车场、加油站、上下地中衡、危险地段、生产现场、倒车或拖带损坏车辆时限速</w:t>
      </w:r>
      <w:r>
        <w:rPr>
          <w:rStyle w:val="ac"/>
          <w:rFonts w:ascii="Times New Roman" w:eastAsiaTheme="minorEastAsia" w:hAnsi="Times New Roman" w:cs="Times New Roman"/>
          <w:kern w:val="2"/>
          <w:szCs w:val="24"/>
          <w:vertAlign w:val="baseline"/>
        </w:rPr>
        <w:t>5</w:t>
      </w:r>
      <w:r>
        <w:rPr>
          <w:rStyle w:val="ac"/>
          <w:rFonts w:ascii="Times New Roman" w:eastAsiaTheme="minorEastAsia" w:hAnsi="Times New Roman" w:cs="Times New Roman"/>
          <w:kern w:val="2"/>
          <w:szCs w:val="24"/>
          <w:vertAlign w:val="baseline"/>
        </w:rPr>
        <w:t>公里。</w:t>
      </w:r>
    </w:p>
  </w:footnote>
  <w:footnote w:id="4">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《工业车辆使用、操作与维护安全规范</w:t>
      </w:r>
      <w:r>
        <w:rPr>
          <w:rStyle w:val="ac"/>
          <w:rFonts w:ascii="Times New Roman" w:eastAsiaTheme="minorEastAsia" w:hAnsi="Times New Roman" w:cs="Times New Roman"/>
          <w:kern w:val="2"/>
          <w:szCs w:val="24"/>
          <w:vertAlign w:val="baseline"/>
        </w:rPr>
        <w:t>(GB/T36507-2023</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4.6.1.11</w:t>
      </w:r>
      <w:r>
        <w:rPr>
          <w:rStyle w:val="ac"/>
          <w:rFonts w:ascii="Times New Roman" w:eastAsiaTheme="minorEastAsia" w:hAnsi="Times New Roman" w:cs="Times New Roman"/>
          <w:kern w:val="2"/>
          <w:szCs w:val="24"/>
          <w:vertAlign w:val="baseline"/>
        </w:rPr>
        <w:t>条</w:t>
      </w:r>
      <w:r>
        <w:rPr>
          <w:rStyle w:val="ac"/>
          <w:rFonts w:ascii="Times New Roman" w:eastAsiaTheme="minorEastAsia" w:hAnsi="Times New Roman" w:cs="Times New Roman"/>
          <w:kern w:val="2"/>
          <w:szCs w:val="24"/>
          <w:vertAlign w:val="baseline"/>
        </w:rPr>
        <w:t xml:space="preserve"> </w:t>
      </w:r>
      <w:r>
        <w:rPr>
          <w:rStyle w:val="ac"/>
          <w:rFonts w:ascii="Times New Roman" w:eastAsiaTheme="minorEastAsia" w:hAnsi="Times New Roman" w:cs="Times New Roman"/>
          <w:kern w:val="2"/>
          <w:szCs w:val="24"/>
          <w:vertAlign w:val="baseline"/>
        </w:rPr>
        <w:t>车辆运行时</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载荷或载荷搬运装置应保持在足以通过运行路段表面和局部障碍物的运行高度</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若有可能</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后倾载荷</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缩回门架</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货叉</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适用时</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。除了堆垛作业外</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不应起升载荷。此规定不适用于可带起升载荷运行的车辆。</w:t>
      </w:r>
    </w:p>
  </w:footnote>
  <w:footnote w:id="5">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w:t>
      </w:r>
      <w:bookmarkStart w:id="46" w:name="_Hlk168434683"/>
      <w:r>
        <w:rPr>
          <w:rStyle w:val="ac"/>
          <w:rFonts w:ascii="Times New Roman" w:eastAsiaTheme="minorEastAsia" w:hAnsi="Times New Roman" w:cs="Times New Roman"/>
          <w:kern w:val="2"/>
          <w:szCs w:val="24"/>
          <w:vertAlign w:val="baseline"/>
        </w:rPr>
        <w:t>工业车辆使用、操作与维护安全规范</w:t>
      </w:r>
      <w:r>
        <w:rPr>
          <w:rStyle w:val="ac"/>
          <w:rFonts w:ascii="Times New Roman" w:eastAsiaTheme="minorEastAsia" w:hAnsi="Times New Roman" w:cs="Times New Roman"/>
          <w:kern w:val="2"/>
          <w:szCs w:val="24"/>
          <w:vertAlign w:val="baseline"/>
        </w:rPr>
        <w:t>(GB/T36507-2023</w:t>
      </w:r>
      <w:r>
        <w:rPr>
          <w:rStyle w:val="ac"/>
          <w:rFonts w:ascii="Times New Roman" w:eastAsiaTheme="minorEastAsia" w:hAnsi="Times New Roman" w:cs="Times New Roman"/>
          <w:kern w:val="2"/>
          <w:szCs w:val="24"/>
          <w:vertAlign w:val="baseline"/>
        </w:rPr>
        <w:t>》</w:t>
      </w:r>
      <w:bookmarkEnd w:id="46"/>
      <w:r>
        <w:rPr>
          <w:rStyle w:val="ac"/>
          <w:rFonts w:ascii="Times New Roman" w:eastAsiaTheme="minorEastAsia" w:hAnsi="Times New Roman" w:cs="Times New Roman"/>
          <w:kern w:val="2"/>
          <w:szCs w:val="24"/>
          <w:vertAlign w:val="baseline"/>
        </w:rPr>
        <w:t>4.6.1.14</w:t>
      </w:r>
      <w:r>
        <w:rPr>
          <w:rStyle w:val="ac"/>
          <w:rFonts w:ascii="Times New Roman" w:eastAsiaTheme="minorEastAsia" w:hAnsi="Times New Roman" w:cs="Times New Roman"/>
          <w:kern w:val="2"/>
          <w:szCs w:val="24"/>
          <w:vertAlign w:val="baseline"/>
        </w:rPr>
        <w:t>车辆作业时不应发生倾翻的危险。以下情况可能增加倾翻的危险</w:t>
      </w:r>
      <w:r>
        <w:rPr>
          <w:rStyle w:val="ac"/>
          <w:rFonts w:ascii="Times New Roman" w:eastAsiaTheme="minorEastAsia" w:hAnsi="Times New Roman" w:cs="Times New Roman"/>
          <w:kern w:val="2"/>
          <w:szCs w:val="24"/>
          <w:vertAlign w:val="baseline"/>
        </w:rPr>
        <w:t xml:space="preserve">: </w:t>
      </w:r>
      <w:r>
        <w:rPr>
          <w:rStyle w:val="ac"/>
          <w:rFonts w:ascii="Times New Roman" w:eastAsiaTheme="minorEastAsia" w:hAnsi="Times New Roman" w:cs="Times New Roman"/>
          <w:kern w:val="2"/>
          <w:szCs w:val="24"/>
          <w:vertAlign w:val="baseline"/>
        </w:rPr>
        <w:t>带起升的载荷或载荷搬运装置运行</w:t>
      </w:r>
      <w:r>
        <w:rPr>
          <w:rStyle w:val="ac"/>
          <w:rFonts w:ascii="Times New Roman" w:eastAsiaTheme="minorEastAsia" w:hAnsi="Times New Roman" w:cs="Times New Roman"/>
          <w:kern w:val="2"/>
          <w:szCs w:val="24"/>
          <w:vertAlign w:val="baseline"/>
        </w:rPr>
        <w:t>;</w:t>
      </w:r>
    </w:p>
  </w:footnote>
  <w:footnote w:id="6">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bookmarkStart w:id="48" w:name="_Hlk168435499"/>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《工业车辆使用、操作与维护安全规范</w:t>
      </w:r>
      <w:r>
        <w:rPr>
          <w:rStyle w:val="ac"/>
          <w:rFonts w:ascii="Times New Roman" w:eastAsiaTheme="minorEastAsia" w:hAnsi="Times New Roman" w:cs="Times New Roman"/>
          <w:kern w:val="2"/>
          <w:szCs w:val="24"/>
          <w:vertAlign w:val="baseline"/>
        </w:rPr>
        <w:t>(GB/T36507-2023</w:t>
      </w:r>
      <w:r>
        <w:rPr>
          <w:rStyle w:val="ac"/>
          <w:rFonts w:ascii="Times New Roman" w:eastAsiaTheme="minorEastAsia" w:hAnsi="Times New Roman" w:cs="Times New Roman"/>
          <w:kern w:val="2"/>
          <w:szCs w:val="24"/>
          <w:vertAlign w:val="baseline"/>
        </w:rPr>
        <w:t>》</w:t>
      </w:r>
      <w:bookmarkEnd w:id="48"/>
      <w:r>
        <w:rPr>
          <w:rStyle w:val="ac"/>
          <w:rFonts w:ascii="Times New Roman" w:eastAsiaTheme="minorEastAsia" w:hAnsi="Times New Roman" w:cs="Times New Roman"/>
          <w:kern w:val="2"/>
          <w:szCs w:val="24"/>
          <w:vertAlign w:val="baseline"/>
        </w:rPr>
        <w:t>5.5</w:t>
      </w:r>
      <w:r>
        <w:rPr>
          <w:rStyle w:val="ac"/>
          <w:rFonts w:ascii="Times New Roman" w:eastAsiaTheme="minorEastAsia" w:hAnsi="Times New Roman" w:cs="Times New Roman"/>
          <w:kern w:val="2"/>
          <w:szCs w:val="24"/>
          <w:vertAlign w:val="baseline"/>
        </w:rPr>
        <w:t>在允许操作车辆之前</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应使用操作者约束系统</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例如安全带</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。如果以司机室作为操作者约束系统</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则不应将门取下或保持打开状态。</w:t>
      </w:r>
    </w:p>
  </w:footnote>
  <w:footnote w:id="7">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bookmarkStart w:id="54" w:name="_Hlk168435226"/>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《场（厂）内专用机动车辆安全技术监察规程》</w:t>
      </w:r>
      <w:bookmarkEnd w:id="54"/>
      <w:r>
        <w:rPr>
          <w:rStyle w:val="ac"/>
          <w:rFonts w:ascii="Times New Roman" w:eastAsiaTheme="minorEastAsia" w:hAnsi="Times New Roman" w:cs="Times New Roman"/>
          <w:kern w:val="2"/>
          <w:szCs w:val="24"/>
          <w:vertAlign w:val="baseline"/>
        </w:rPr>
        <w:t>3.1.1 (8)</w:t>
      </w:r>
      <w:r>
        <w:rPr>
          <w:rStyle w:val="ac"/>
          <w:rFonts w:ascii="Times New Roman" w:eastAsiaTheme="minorEastAsia" w:hAnsi="Times New Roman" w:cs="Times New Roman"/>
          <w:kern w:val="2"/>
          <w:szCs w:val="24"/>
          <w:vertAlign w:val="baseline"/>
        </w:rPr>
        <w:t>制定安全操作规程，至少包括系安全带、转弯减速、下坡减速和超高限速等要求；</w:t>
      </w:r>
    </w:p>
  </w:footnote>
  <w:footnote w:id="8">
    <w:p w:rsidR="007978DB" w:rsidRDefault="007978DB" w:rsidP="007978DB">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安全生产法》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9">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《工业车辆使用、操作与维护安全规范</w:t>
      </w:r>
      <w:r>
        <w:rPr>
          <w:rStyle w:val="ac"/>
          <w:rFonts w:ascii="Times New Roman" w:eastAsiaTheme="minorEastAsia" w:hAnsi="Times New Roman" w:cs="Times New Roman"/>
          <w:kern w:val="2"/>
          <w:szCs w:val="24"/>
          <w:vertAlign w:val="baseline"/>
        </w:rPr>
        <w:t>(GB/T36507-2023</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 xml:space="preserve">4.4.3.2 </w:t>
      </w:r>
      <w:r>
        <w:rPr>
          <w:rStyle w:val="ac"/>
          <w:rFonts w:ascii="Times New Roman" w:eastAsiaTheme="minorEastAsia" w:hAnsi="Times New Roman" w:cs="Times New Roman"/>
          <w:kern w:val="2"/>
          <w:szCs w:val="24"/>
          <w:vertAlign w:val="baseline"/>
        </w:rPr>
        <w:t>载荷、设备、材料和建筑设施在正常作业区域内的永久性或临时性突出物</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应加以防护</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进行清晰明显的标记</w:t>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或清晰可见。</w:t>
      </w:r>
    </w:p>
  </w:footnote>
  <w:footnote w:id="10">
    <w:p w:rsidR="00EF6661" w:rsidRPr="007978DB" w:rsidRDefault="00E25C2C">
      <w:pPr>
        <w:pStyle w:val="a7"/>
        <w:adjustRightInd/>
        <w:spacing w:after="0" w:line="240" w:lineRule="exact"/>
        <w:rPr>
          <w:rStyle w:val="ac"/>
          <w:rFonts w:asciiTheme="minorEastAsia" w:eastAsiaTheme="minorEastAsia" w:hAnsiTheme="minorEastAsia" w:cs="Times New Roman"/>
          <w:kern w:val="2"/>
          <w:szCs w:val="24"/>
          <w:vertAlign w:val="baseline"/>
        </w:rPr>
      </w:pP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footnoteRef/>
      </w:r>
      <w:r>
        <w:rPr>
          <w:rStyle w:val="ac"/>
          <w:rFonts w:ascii="Times New Roman" w:eastAsiaTheme="minorEastAsia" w:hAnsi="Times New Roman" w:cs="Times New Roman"/>
          <w:kern w:val="2"/>
          <w:szCs w:val="24"/>
          <w:vertAlign w:val="baseline"/>
        </w:rPr>
        <w:t>]</w:t>
      </w:r>
      <w:r>
        <w:rPr>
          <w:rStyle w:val="ac"/>
          <w:rFonts w:ascii="Times New Roman" w:eastAsiaTheme="minorEastAsia" w:hAnsi="Times New Roman" w:cs="Times New Roman"/>
          <w:kern w:val="2"/>
          <w:szCs w:val="24"/>
          <w:vertAlign w:val="baseline"/>
        </w:rPr>
        <w:t>工业企业厂内铁路、道路运输安全规程》（</w:t>
      </w:r>
      <w:r>
        <w:rPr>
          <w:rStyle w:val="ac"/>
          <w:rFonts w:ascii="Times New Roman" w:eastAsiaTheme="minorEastAsia" w:hAnsi="Times New Roman" w:cs="Times New Roman"/>
          <w:kern w:val="2"/>
          <w:szCs w:val="24"/>
          <w:vertAlign w:val="baseline"/>
        </w:rPr>
        <w:t>GB4387-2008</w:t>
      </w:r>
      <w:r>
        <w:rPr>
          <w:rStyle w:val="ac"/>
          <w:rFonts w:ascii="Times New Roman" w:eastAsiaTheme="minorEastAsia" w:hAnsi="Times New Roman" w:cs="Times New Roman"/>
          <w:kern w:val="2"/>
          <w:szCs w:val="24"/>
          <w:vertAlign w:val="baseline"/>
        </w:rPr>
        <w:t>）７</w:t>
      </w:r>
      <w:r>
        <w:rPr>
          <w:rStyle w:val="ac"/>
          <w:rFonts w:ascii="Times New Roman" w:eastAsiaTheme="minorEastAsia" w:hAnsi="Times New Roman" w:cs="Times New Roman"/>
          <w:kern w:val="2"/>
          <w:szCs w:val="24"/>
          <w:vertAlign w:val="baseline"/>
        </w:rPr>
        <w:t>.6.1.7</w:t>
      </w:r>
      <w:r>
        <w:rPr>
          <w:rStyle w:val="ac"/>
          <w:rFonts w:ascii="Times New Roman" w:eastAsiaTheme="minorEastAsia" w:hAnsi="Times New Roman" w:cs="Times New Roman"/>
          <w:kern w:val="2"/>
          <w:szCs w:val="24"/>
          <w:vertAlign w:val="baseline"/>
        </w:rPr>
        <w:t xml:space="preserve">　行驶电力机车的厂内道口未设限界架时，应在道口两端，机动车驶向道口方向的右侧适当地点，设置道口限高标志。道口限高标志为圆形，其图案及尺寸</w:t>
      </w:r>
      <w:r w:rsidRPr="007978DB">
        <w:rPr>
          <w:rStyle w:val="ac"/>
          <w:rFonts w:asciiTheme="minorEastAsia" w:eastAsiaTheme="minorEastAsia" w:hAnsiTheme="minorEastAsia" w:cs="Times New Roman"/>
          <w:kern w:val="2"/>
          <w:szCs w:val="24"/>
          <w:vertAlign w:val="baseline"/>
        </w:rPr>
        <w:t>如图１２所示。板面颜色为白底、红圈和黑图案；该标志表示严禁高度超过４.５ｍ 的车辆通过道口。</w:t>
      </w:r>
    </w:p>
  </w:footnote>
  <w:footnote w:id="11">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hint="eastAsia"/>
          <w:kern w:val="2"/>
          <w:szCs w:val="24"/>
          <w:vertAlign w:val="baseline"/>
        </w:rPr>
        <w:t>[</w:t>
      </w:r>
      <w:r>
        <w:rPr>
          <w:rStyle w:val="ac"/>
          <w:rFonts w:ascii="Times New Roman" w:eastAsiaTheme="minorEastAsia" w:hAnsi="Times New Roman" w:cs="Times New Roman" w:hint="eastAsia"/>
          <w:kern w:val="2"/>
          <w:szCs w:val="24"/>
          <w:vertAlign w:val="baseline"/>
        </w:rPr>
        <w:footnoteRef/>
      </w:r>
      <w:r>
        <w:rPr>
          <w:rStyle w:val="ac"/>
          <w:rFonts w:ascii="Times New Roman" w:eastAsiaTheme="minorEastAsia" w:hAnsi="Times New Roman" w:cs="Times New Roman" w:hint="eastAsia"/>
          <w:kern w:val="2"/>
          <w:szCs w:val="24"/>
          <w:vertAlign w:val="baseline"/>
        </w:rPr>
        <w:t xml:space="preserve">] </w:t>
      </w:r>
      <w:r>
        <w:rPr>
          <w:rStyle w:val="ac"/>
          <w:rFonts w:ascii="Times New Roman" w:eastAsiaTheme="minorEastAsia" w:hAnsi="Times New Roman" w:cs="Times New Roman" w:hint="eastAsia"/>
          <w:kern w:val="2"/>
          <w:szCs w:val="24"/>
          <w:vertAlign w:val="baseline"/>
        </w:rPr>
        <w:t>《中华人民共和国特种设备安全法》第十三条第一款：特种设备生产、经营、使用单位及其主要负责人对其生产、经营、使用的特种设备安全负责。</w:t>
      </w:r>
    </w:p>
  </w:footnote>
  <w:footnote w:id="12">
    <w:p w:rsidR="00EF6661" w:rsidRDefault="00E25C2C">
      <w:pPr>
        <w:pStyle w:val="a7"/>
        <w:adjustRightInd/>
        <w:spacing w:after="0" w:line="240" w:lineRule="exact"/>
        <w:rPr>
          <w:rStyle w:val="ac"/>
          <w:rFonts w:ascii="Times New Roman" w:eastAsiaTheme="minorEastAsia" w:hAnsi="Times New Roman" w:cs="Times New Roman"/>
          <w:kern w:val="2"/>
          <w:szCs w:val="24"/>
          <w:vertAlign w:val="baseline"/>
        </w:rPr>
      </w:pPr>
      <w:r>
        <w:rPr>
          <w:rStyle w:val="ac"/>
          <w:rFonts w:ascii="Times New Roman" w:eastAsiaTheme="minorEastAsia" w:hAnsi="Times New Roman" w:cs="Times New Roman" w:hint="eastAsia"/>
          <w:kern w:val="2"/>
          <w:szCs w:val="24"/>
          <w:vertAlign w:val="baseline"/>
        </w:rPr>
        <w:t>[</w:t>
      </w:r>
      <w:r>
        <w:rPr>
          <w:rStyle w:val="ac"/>
          <w:rFonts w:ascii="Times New Roman" w:eastAsiaTheme="minorEastAsia" w:hAnsi="Times New Roman" w:cs="Times New Roman" w:hint="eastAsia"/>
          <w:kern w:val="2"/>
          <w:szCs w:val="24"/>
          <w:vertAlign w:val="baseline"/>
        </w:rPr>
        <w:footnoteRef/>
      </w:r>
      <w:r>
        <w:rPr>
          <w:rStyle w:val="ac"/>
          <w:rFonts w:ascii="Times New Roman" w:eastAsiaTheme="minorEastAsia" w:hAnsi="Times New Roman" w:cs="Times New Roman" w:hint="eastAsia"/>
          <w:kern w:val="2"/>
          <w:szCs w:val="24"/>
          <w:vertAlign w:val="baseline"/>
        </w:rPr>
        <w:t>]</w:t>
      </w:r>
      <w:r>
        <w:rPr>
          <w:rStyle w:val="ac"/>
          <w:rFonts w:ascii="Times New Roman" w:eastAsiaTheme="minorEastAsia" w:hAnsi="Times New Roman" w:cs="Times New Roman" w:hint="eastAsia"/>
          <w:kern w:val="2"/>
          <w:szCs w:val="24"/>
          <w:vertAlign w:val="baseline"/>
        </w:rPr>
        <w:t>《中华人民共和国特种设备安全法》第九十一条第（一）项：对事故发生负有责任的单位的主要负责人未依法履行职责或者负有领导责任的，依照下列规定处以罚款；属于国家工作人员的，并依法给予处分：（一）发生一般事故，处上一年年收入百分之三十的罚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19"/>
  <w:noPunctuationKerning/>
  <w:characterSpacingControl w:val="doNotCompress"/>
  <w:hdrShapeDefaults>
    <o:shapedefaults v:ext="edit" spidmax="12290"/>
    <o:shapelayout v:ext="edit">
      <o:idmap v:ext="edit" data="3,4"/>
    </o:shapelayout>
  </w:hdrShapeDefaults>
  <w:footnotePr>
    <w:footnote w:id="0"/>
    <w:footnote w:id="1"/>
  </w:footnotePr>
  <w:endnotePr>
    <w:endnote w:id="0"/>
    <w:endnote w:id="1"/>
  </w:endnotePr>
  <w:compat>
    <w:doNotExpandShiftReturn/>
    <w:useFELayout/>
  </w:compat>
  <w:docVars>
    <w:docVar w:name="commondata" w:val="eyJoZGlkIjoiNDJlMjI1NmM2ZmFlMTQzNzQzNGI4YTE5YTg2NmMxYmEifQ=="/>
  </w:docVars>
  <w:rsids>
    <w:rsidRoot w:val="00D31D50"/>
    <w:rsid w:val="00001847"/>
    <w:rsid w:val="00001C89"/>
    <w:rsid w:val="000045F2"/>
    <w:rsid w:val="0000467F"/>
    <w:rsid w:val="00007130"/>
    <w:rsid w:val="0001012F"/>
    <w:rsid w:val="000111F9"/>
    <w:rsid w:val="000121AF"/>
    <w:rsid w:val="00014666"/>
    <w:rsid w:val="000158DE"/>
    <w:rsid w:val="000164F7"/>
    <w:rsid w:val="0002159A"/>
    <w:rsid w:val="00022087"/>
    <w:rsid w:val="000269EC"/>
    <w:rsid w:val="00026C87"/>
    <w:rsid w:val="00027146"/>
    <w:rsid w:val="00030772"/>
    <w:rsid w:val="000317A9"/>
    <w:rsid w:val="000330E4"/>
    <w:rsid w:val="00033EE6"/>
    <w:rsid w:val="00035CE9"/>
    <w:rsid w:val="000371E3"/>
    <w:rsid w:val="00041855"/>
    <w:rsid w:val="00044EE0"/>
    <w:rsid w:val="000464D7"/>
    <w:rsid w:val="00047F0C"/>
    <w:rsid w:val="000502B7"/>
    <w:rsid w:val="000533EF"/>
    <w:rsid w:val="0005439D"/>
    <w:rsid w:val="000554AF"/>
    <w:rsid w:val="00056753"/>
    <w:rsid w:val="0005764D"/>
    <w:rsid w:val="00065122"/>
    <w:rsid w:val="0006515D"/>
    <w:rsid w:val="00070763"/>
    <w:rsid w:val="000718A2"/>
    <w:rsid w:val="00073759"/>
    <w:rsid w:val="0007671F"/>
    <w:rsid w:val="00086AB8"/>
    <w:rsid w:val="00092269"/>
    <w:rsid w:val="000924D0"/>
    <w:rsid w:val="00094C4F"/>
    <w:rsid w:val="00094DE3"/>
    <w:rsid w:val="00095C76"/>
    <w:rsid w:val="000A0EB0"/>
    <w:rsid w:val="000A52B8"/>
    <w:rsid w:val="000A7968"/>
    <w:rsid w:val="000B2CD3"/>
    <w:rsid w:val="000B32E7"/>
    <w:rsid w:val="000B5476"/>
    <w:rsid w:val="000B71D1"/>
    <w:rsid w:val="000C256B"/>
    <w:rsid w:val="000C5FF7"/>
    <w:rsid w:val="000C6604"/>
    <w:rsid w:val="000C7D9F"/>
    <w:rsid w:val="000C7E3D"/>
    <w:rsid w:val="000D1673"/>
    <w:rsid w:val="000D28C0"/>
    <w:rsid w:val="000D2F77"/>
    <w:rsid w:val="000D3E6C"/>
    <w:rsid w:val="000D42A1"/>
    <w:rsid w:val="000D571E"/>
    <w:rsid w:val="000D5D89"/>
    <w:rsid w:val="000D676B"/>
    <w:rsid w:val="000E0A0E"/>
    <w:rsid w:val="000E363D"/>
    <w:rsid w:val="000E3CEA"/>
    <w:rsid w:val="000E75CD"/>
    <w:rsid w:val="000F09AC"/>
    <w:rsid w:val="000F4B27"/>
    <w:rsid w:val="000F4D53"/>
    <w:rsid w:val="000F5936"/>
    <w:rsid w:val="00100207"/>
    <w:rsid w:val="00100F3F"/>
    <w:rsid w:val="00101DDA"/>
    <w:rsid w:val="00103B38"/>
    <w:rsid w:val="00105C2A"/>
    <w:rsid w:val="00106FB2"/>
    <w:rsid w:val="001077EC"/>
    <w:rsid w:val="00110399"/>
    <w:rsid w:val="0011164B"/>
    <w:rsid w:val="00112133"/>
    <w:rsid w:val="00112AAA"/>
    <w:rsid w:val="00114696"/>
    <w:rsid w:val="0011500A"/>
    <w:rsid w:val="001152FF"/>
    <w:rsid w:val="001153DF"/>
    <w:rsid w:val="0011637C"/>
    <w:rsid w:val="00117F96"/>
    <w:rsid w:val="00124E6D"/>
    <w:rsid w:val="00124F02"/>
    <w:rsid w:val="0013021A"/>
    <w:rsid w:val="00130D01"/>
    <w:rsid w:val="0013206C"/>
    <w:rsid w:val="00141652"/>
    <w:rsid w:val="0014529A"/>
    <w:rsid w:val="0014610D"/>
    <w:rsid w:val="00160DE5"/>
    <w:rsid w:val="00163038"/>
    <w:rsid w:val="001667D3"/>
    <w:rsid w:val="00166A53"/>
    <w:rsid w:val="00171B20"/>
    <w:rsid w:val="00174B20"/>
    <w:rsid w:val="001754EC"/>
    <w:rsid w:val="00177FD4"/>
    <w:rsid w:val="001803E4"/>
    <w:rsid w:val="001829DF"/>
    <w:rsid w:val="0018400A"/>
    <w:rsid w:val="001858E3"/>
    <w:rsid w:val="00185BF6"/>
    <w:rsid w:val="001868E0"/>
    <w:rsid w:val="00192A9E"/>
    <w:rsid w:val="001A5BBC"/>
    <w:rsid w:val="001C1E4B"/>
    <w:rsid w:val="001C3529"/>
    <w:rsid w:val="001C6239"/>
    <w:rsid w:val="001C6437"/>
    <w:rsid w:val="001C66AA"/>
    <w:rsid w:val="001D3E0A"/>
    <w:rsid w:val="001D3F8C"/>
    <w:rsid w:val="001D456B"/>
    <w:rsid w:val="001D52EF"/>
    <w:rsid w:val="001D79D7"/>
    <w:rsid w:val="001E7E33"/>
    <w:rsid w:val="001F080F"/>
    <w:rsid w:val="001F0C57"/>
    <w:rsid w:val="001F1B3B"/>
    <w:rsid w:val="001F4053"/>
    <w:rsid w:val="001F4BAD"/>
    <w:rsid w:val="001F4F37"/>
    <w:rsid w:val="001F6990"/>
    <w:rsid w:val="001F7791"/>
    <w:rsid w:val="00202AE8"/>
    <w:rsid w:val="00203CE3"/>
    <w:rsid w:val="00204F00"/>
    <w:rsid w:val="002050A7"/>
    <w:rsid w:val="0020729D"/>
    <w:rsid w:val="002102E9"/>
    <w:rsid w:val="002122CB"/>
    <w:rsid w:val="002133F7"/>
    <w:rsid w:val="00213754"/>
    <w:rsid w:val="0021717B"/>
    <w:rsid w:val="00220363"/>
    <w:rsid w:val="00221AFA"/>
    <w:rsid w:val="00223D35"/>
    <w:rsid w:val="0023168E"/>
    <w:rsid w:val="002332F3"/>
    <w:rsid w:val="0023626B"/>
    <w:rsid w:val="00236448"/>
    <w:rsid w:val="00242FF8"/>
    <w:rsid w:val="00245E24"/>
    <w:rsid w:val="002465C7"/>
    <w:rsid w:val="00247283"/>
    <w:rsid w:val="00250075"/>
    <w:rsid w:val="0025203F"/>
    <w:rsid w:val="00252B0D"/>
    <w:rsid w:val="0025490B"/>
    <w:rsid w:val="00254EF8"/>
    <w:rsid w:val="002571F1"/>
    <w:rsid w:val="002604B2"/>
    <w:rsid w:val="00263A05"/>
    <w:rsid w:val="00266F73"/>
    <w:rsid w:val="00271A1A"/>
    <w:rsid w:val="002734E0"/>
    <w:rsid w:val="00274128"/>
    <w:rsid w:val="0027423C"/>
    <w:rsid w:val="0028328E"/>
    <w:rsid w:val="00284872"/>
    <w:rsid w:val="002878D5"/>
    <w:rsid w:val="00297E3B"/>
    <w:rsid w:val="002A36CB"/>
    <w:rsid w:val="002A69FA"/>
    <w:rsid w:val="002B0AC3"/>
    <w:rsid w:val="002B0FA8"/>
    <w:rsid w:val="002B34C9"/>
    <w:rsid w:val="002B6534"/>
    <w:rsid w:val="002B6A21"/>
    <w:rsid w:val="002D04E5"/>
    <w:rsid w:val="002D58EF"/>
    <w:rsid w:val="002D645D"/>
    <w:rsid w:val="002E2129"/>
    <w:rsid w:val="002E2D95"/>
    <w:rsid w:val="002E3F7B"/>
    <w:rsid w:val="002E612A"/>
    <w:rsid w:val="002F2409"/>
    <w:rsid w:val="002F2A86"/>
    <w:rsid w:val="002F3E1A"/>
    <w:rsid w:val="002F64E4"/>
    <w:rsid w:val="00302138"/>
    <w:rsid w:val="00304F2B"/>
    <w:rsid w:val="00305C44"/>
    <w:rsid w:val="00306F7D"/>
    <w:rsid w:val="00310F80"/>
    <w:rsid w:val="0031610F"/>
    <w:rsid w:val="00323447"/>
    <w:rsid w:val="00323A32"/>
    <w:rsid w:val="00323B43"/>
    <w:rsid w:val="00324C45"/>
    <w:rsid w:val="003320F8"/>
    <w:rsid w:val="00337D4B"/>
    <w:rsid w:val="00337E9A"/>
    <w:rsid w:val="00342306"/>
    <w:rsid w:val="00347A16"/>
    <w:rsid w:val="00351CB1"/>
    <w:rsid w:val="003531EE"/>
    <w:rsid w:val="003546D7"/>
    <w:rsid w:val="00355B4B"/>
    <w:rsid w:val="00356C19"/>
    <w:rsid w:val="0036105E"/>
    <w:rsid w:val="00364C0D"/>
    <w:rsid w:val="003676A5"/>
    <w:rsid w:val="0037126A"/>
    <w:rsid w:val="00371CC8"/>
    <w:rsid w:val="00372E6A"/>
    <w:rsid w:val="0037321D"/>
    <w:rsid w:val="00373467"/>
    <w:rsid w:val="003737DE"/>
    <w:rsid w:val="00375B62"/>
    <w:rsid w:val="003807A4"/>
    <w:rsid w:val="0039211B"/>
    <w:rsid w:val="0039235B"/>
    <w:rsid w:val="003942EC"/>
    <w:rsid w:val="00394D23"/>
    <w:rsid w:val="00396F36"/>
    <w:rsid w:val="003A3AA0"/>
    <w:rsid w:val="003A56B7"/>
    <w:rsid w:val="003B0433"/>
    <w:rsid w:val="003B1944"/>
    <w:rsid w:val="003B1D75"/>
    <w:rsid w:val="003C1D05"/>
    <w:rsid w:val="003C21DE"/>
    <w:rsid w:val="003C39B7"/>
    <w:rsid w:val="003C5865"/>
    <w:rsid w:val="003C7B08"/>
    <w:rsid w:val="003D3283"/>
    <w:rsid w:val="003D37D8"/>
    <w:rsid w:val="003D44F4"/>
    <w:rsid w:val="003D75CF"/>
    <w:rsid w:val="003D766D"/>
    <w:rsid w:val="003E1056"/>
    <w:rsid w:val="003E6D81"/>
    <w:rsid w:val="003E7BAB"/>
    <w:rsid w:val="003F1081"/>
    <w:rsid w:val="003F767A"/>
    <w:rsid w:val="003F7F1E"/>
    <w:rsid w:val="00403E47"/>
    <w:rsid w:val="00412DD9"/>
    <w:rsid w:val="004155A8"/>
    <w:rsid w:val="004169A5"/>
    <w:rsid w:val="004201C6"/>
    <w:rsid w:val="004204A2"/>
    <w:rsid w:val="00426133"/>
    <w:rsid w:val="00426778"/>
    <w:rsid w:val="0043198A"/>
    <w:rsid w:val="004324DD"/>
    <w:rsid w:val="00432610"/>
    <w:rsid w:val="00432EC8"/>
    <w:rsid w:val="004358AB"/>
    <w:rsid w:val="00443CCB"/>
    <w:rsid w:val="00445DDC"/>
    <w:rsid w:val="004462FC"/>
    <w:rsid w:val="004513EC"/>
    <w:rsid w:val="00453EDE"/>
    <w:rsid w:val="004558D7"/>
    <w:rsid w:val="00455B4E"/>
    <w:rsid w:val="00456E4C"/>
    <w:rsid w:val="00456F3F"/>
    <w:rsid w:val="00460114"/>
    <w:rsid w:val="00462D09"/>
    <w:rsid w:val="00466D62"/>
    <w:rsid w:val="004677FC"/>
    <w:rsid w:val="004707F8"/>
    <w:rsid w:val="00472A85"/>
    <w:rsid w:val="00473792"/>
    <w:rsid w:val="00475A4F"/>
    <w:rsid w:val="0048424C"/>
    <w:rsid w:val="00485A26"/>
    <w:rsid w:val="00490463"/>
    <w:rsid w:val="004A2450"/>
    <w:rsid w:val="004A5150"/>
    <w:rsid w:val="004A75B4"/>
    <w:rsid w:val="004B06F5"/>
    <w:rsid w:val="004B267A"/>
    <w:rsid w:val="004B373E"/>
    <w:rsid w:val="004B793D"/>
    <w:rsid w:val="004C0C83"/>
    <w:rsid w:val="004C1F96"/>
    <w:rsid w:val="004C3264"/>
    <w:rsid w:val="004D10B2"/>
    <w:rsid w:val="004D1C3A"/>
    <w:rsid w:val="004D2714"/>
    <w:rsid w:val="004D3757"/>
    <w:rsid w:val="004D5DDB"/>
    <w:rsid w:val="004D6885"/>
    <w:rsid w:val="004E1894"/>
    <w:rsid w:val="004E33C0"/>
    <w:rsid w:val="004F321E"/>
    <w:rsid w:val="004F4CFE"/>
    <w:rsid w:val="004F7850"/>
    <w:rsid w:val="005013B0"/>
    <w:rsid w:val="00502A97"/>
    <w:rsid w:val="00502AC3"/>
    <w:rsid w:val="005046FD"/>
    <w:rsid w:val="00506706"/>
    <w:rsid w:val="00510A47"/>
    <w:rsid w:val="00510F3F"/>
    <w:rsid w:val="00511F83"/>
    <w:rsid w:val="00513E0E"/>
    <w:rsid w:val="005176D2"/>
    <w:rsid w:val="00520DF3"/>
    <w:rsid w:val="0052406B"/>
    <w:rsid w:val="00525AE3"/>
    <w:rsid w:val="00530154"/>
    <w:rsid w:val="005302F4"/>
    <w:rsid w:val="00530D5D"/>
    <w:rsid w:val="00531B09"/>
    <w:rsid w:val="00535A75"/>
    <w:rsid w:val="00542A6C"/>
    <w:rsid w:val="0055382C"/>
    <w:rsid w:val="005612FC"/>
    <w:rsid w:val="005623D8"/>
    <w:rsid w:val="005656A4"/>
    <w:rsid w:val="00570235"/>
    <w:rsid w:val="005709BB"/>
    <w:rsid w:val="00570DBB"/>
    <w:rsid w:val="00571426"/>
    <w:rsid w:val="00571F93"/>
    <w:rsid w:val="005732D8"/>
    <w:rsid w:val="00574AD2"/>
    <w:rsid w:val="0057539E"/>
    <w:rsid w:val="005753E3"/>
    <w:rsid w:val="005827AD"/>
    <w:rsid w:val="00582FAB"/>
    <w:rsid w:val="00583843"/>
    <w:rsid w:val="0058606A"/>
    <w:rsid w:val="00590037"/>
    <w:rsid w:val="0059137F"/>
    <w:rsid w:val="00596604"/>
    <w:rsid w:val="00596D4F"/>
    <w:rsid w:val="005A5EC6"/>
    <w:rsid w:val="005A7FDE"/>
    <w:rsid w:val="005B026A"/>
    <w:rsid w:val="005B5111"/>
    <w:rsid w:val="005B5360"/>
    <w:rsid w:val="005B62C0"/>
    <w:rsid w:val="005C014E"/>
    <w:rsid w:val="005C64DA"/>
    <w:rsid w:val="005D1965"/>
    <w:rsid w:val="005D3697"/>
    <w:rsid w:val="005D504E"/>
    <w:rsid w:val="005D6E4F"/>
    <w:rsid w:val="005E031C"/>
    <w:rsid w:val="005E05E6"/>
    <w:rsid w:val="005E29C6"/>
    <w:rsid w:val="005E4809"/>
    <w:rsid w:val="005E7404"/>
    <w:rsid w:val="005F020C"/>
    <w:rsid w:val="005F2E98"/>
    <w:rsid w:val="005F6D50"/>
    <w:rsid w:val="00602C7E"/>
    <w:rsid w:val="00605D39"/>
    <w:rsid w:val="006142CC"/>
    <w:rsid w:val="006209F9"/>
    <w:rsid w:val="00621230"/>
    <w:rsid w:val="00625588"/>
    <w:rsid w:val="00625AD8"/>
    <w:rsid w:val="006264DA"/>
    <w:rsid w:val="00626761"/>
    <w:rsid w:val="006305D6"/>
    <w:rsid w:val="0063159C"/>
    <w:rsid w:val="006323EF"/>
    <w:rsid w:val="00635C06"/>
    <w:rsid w:val="00635FA6"/>
    <w:rsid w:val="006361CB"/>
    <w:rsid w:val="00637210"/>
    <w:rsid w:val="006407EC"/>
    <w:rsid w:val="0065268C"/>
    <w:rsid w:val="006568CE"/>
    <w:rsid w:val="00657380"/>
    <w:rsid w:val="00664D53"/>
    <w:rsid w:val="00670AE7"/>
    <w:rsid w:val="006771D1"/>
    <w:rsid w:val="00681C71"/>
    <w:rsid w:val="006824E7"/>
    <w:rsid w:val="006848E0"/>
    <w:rsid w:val="006938EC"/>
    <w:rsid w:val="00697A15"/>
    <w:rsid w:val="006A3EDA"/>
    <w:rsid w:val="006A4087"/>
    <w:rsid w:val="006A5EE9"/>
    <w:rsid w:val="006A6AEF"/>
    <w:rsid w:val="006A7880"/>
    <w:rsid w:val="006A7C03"/>
    <w:rsid w:val="006B0869"/>
    <w:rsid w:val="006C3B1C"/>
    <w:rsid w:val="006C6759"/>
    <w:rsid w:val="006C6936"/>
    <w:rsid w:val="006D1FAE"/>
    <w:rsid w:val="006D4116"/>
    <w:rsid w:val="006D477E"/>
    <w:rsid w:val="006D5AA4"/>
    <w:rsid w:val="006E0EA7"/>
    <w:rsid w:val="006E3057"/>
    <w:rsid w:val="006E5322"/>
    <w:rsid w:val="006F044E"/>
    <w:rsid w:val="006F3B2D"/>
    <w:rsid w:val="006F4FE4"/>
    <w:rsid w:val="006F632B"/>
    <w:rsid w:val="006F649B"/>
    <w:rsid w:val="006F6BBD"/>
    <w:rsid w:val="00700026"/>
    <w:rsid w:val="00700E7D"/>
    <w:rsid w:val="00702F69"/>
    <w:rsid w:val="00705A8C"/>
    <w:rsid w:val="007065FF"/>
    <w:rsid w:val="00706C72"/>
    <w:rsid w:val="00711375"/>
    <w:rsid w:val="00715A36"/>
    <w:rsid w:val="0072372A"/>
    <w:rsid w:val="00727D6D"/>
    <w:rsid w:val="007377DE"/>
    <w:rsid w:val="0074113F"/>
    <w:rsid w:val="00742F91"/>
    <w:rsid w:val="00746549"/>
    <w:rsid w:val="00747C07"/>
    <w:rsid w:val="00751DBC"/>
    <w:rsid w:val="00752974"/>
    <w:rsid w:val="00753765"/>
    <w:rsid w:val="007540CE"/>
    <w:rsid w:val="00756306"/>
    <w:rsid w:val="00756E28"/>
    <w:rsid w:val="00757D4A"/>
    <w:rsid w:val="00757DDE"/>
    <w:rsid w:val="007616B1"/>
    <w:rsid w:val="00766EC5"/>
    <w:rsid w:val="00766F02"/>
    <w:rsid w:val="00771B5F"/>
    <w:rsid w:val="00773F70"/>
    <w:rsid w:val="00774512"/>
    <w:rsid w:val="00775B04"/>
    <w:rsid w:val="007817EC"/>
    <w:rsid w:val="00781F85"/>
    <w:rsid w:val="00782FED"/>
    <w:rsid w:val="00791169"/>
    <w:rsid w:val="00791454"/>
    <w:rsid w:val="00792390"/>
    <w:rsid w:val="00796C45"/>
    <w:rsid w:val="007978DB"/>
    <w:rsid w:val="007A1333"/>
    <w:rsid w:val="007A2007"/>
    <w:rsid w:val="007A32EE"/>
    <w:rsid w:val="007A69DB"/>
    <w:rsid w:val="007A71B6"/>
    <w:rsid w:val="007B2321"/>
    <w:rsid w:val="007B3777"/>
    <w:rsid w:val="007B4EFB"/>
    <w:rsid w:val="007C3EB9"/>
    <w:rsid w:val="007C7B56"/>
    <w:rsid w:val="007C7D3C"/>
    <w:rsid w:val="007D0A8B"/>
    <w:rsid w:val="007D27BB"/>
    <w:rsid w:val="007D3B82"/>
    <w:rsid w:val="007E23DD"/>
    <w:rsid w:val="007E343F"/>
    <w:rsid w:val="007E3692"/>
    <w:rsid w:val="007E3EAD"/>
    <w:rsid w:val="007E5279"/>
    <w:rsid w:val="007E5ABC"/>
    <w:rsid w:val="007E5DEB"/>
    <w:rsid w:val="007E6AFF"/>
    <w:rsid w:val="007F0BCE"/>
    <w:rsid w:val="007F3FB3"/>
    <w:rsid w:val="007F543C"/>
    <w:rsid w:val="007F6F28"/>
    <w:rsid w:val="007F7B4E"/>
    <w:rsid w:val="00800E46"/>
    <w:rsid w:val="00801099"/>
    <w:rsid w:val="008011B4"/>
    <w:rsid w:val="00802C72"/>
    <w:rsid w:val="00804BA9"/>
    <w:rsid w:val="00806C86"/>
    <w:rsid w:val="008102BD"/>
    <w:rsid w:val="00810B92"/>
    <w:rsid w:val="00813F9C"/>
    <w:rsid w:val="00815341"/>
    <w:rsid w:val="008172D7"/>
    <w:rsid w:val="00820AAA"/>
    <w:rsid w:val="008251DC"/>
    <w:rsid w:val="00826A31"/>
    <w:rsid w:val="00830CCF"/>
    <w:rsid w:val="0083331C"/>
    <w:rsid w:val="00836B18"/>
    <w:rsid w:val="00841A18"/>
    <w:rsid w:val="008456BC"/>
    <w:rsid w:val="00846E3F"/>
    <w:rsid w:val="00846F6B"/>
    <w:rsid w:val="008479BE"/>
    <w:rsid w:val="008516EC"/>
    <w:rsid w:val="008560EC"/>
    <w:rsid w:val="00856D3A"/>
    <w:rsid w:val="0086160B"/>
    <w:rsid w:val="0086354D"/>
    <w:rsid w:val="00863756"/>
    <w:rsid w:val="00871C0D"/>
    <w:rsid w:val="00873A3A"/>
    <w:rsid w:val="00874111"/>
    <w:rsid w:val="00874477"/>
    <w:rsid w:val="0087674D"/>
    <w:rsid w:val="00876AA1"/>
    <w:rsid w:val="008812CB"/>
    <w:rsid w:val="00881C81"/>
    <w:rsid w:val="00882B6A"/>
    <w:rsid w:val="00887D4D"/>
    <w:rsid w:val="00893B40"/>
    <w:rsid w:val="00894905"/>
    <w:rsid w:val="00896109"/>
    <w:rsid w:val="00896BA3"/>
    <w:rsid w:val="00897229"/>
    <w:rsid w:val="008A0324"/>
    <w:rsid w:val="008A0EEC"/>
    <w:rsid w:val="008A5F92"/>
    <w:rsid w:val="008A79B1"/>
    <w:rsid w:val="008B0AAE"/>
    <w:rsid w:val="008B1989"/>
    <w:rsid w:val="008B4405"/>
    <w:rsid w:val="008B7726"/>
    <w:rsid w:val="008B7D02"/>
    <w:rsid w:val="008C274F"/>
    <w:rsid w:val="008C3F44"/>
    <w:rsid w:val="008C7748"/>
    <w:rsid w:val="008C7E67"/>
    <w:rsid w:val="008D1478"/>
    <w:rsid w:val="008D1E92"/>
    <w:rsid w:val="008D21F2"/>
    <w:rsid w:val="008D2855"/>
    <w:rsid w:val="008D3389"/>
    <w:rsid w:val="008D51F9"/>
    <w:rsid w:val="008D715E"/>
    <w:rsid w:val="008F07FF"/>
    <w:rsid w:val="008F23E6"/>
    <w:rsid w:val="008F2F8E"/>
    <w:rsid w:val="00900EBC"/>
    <w:rsid w:val="00901463"/>
    <w:rsid w:val="00903F70"/>
    <w:rsid w:val="0091333F"/>
    <w:rsid w:val="0091793A"/>
    <w:rsid w:val="00920567"/>
    <w:rsid w:val="00921197"/>
    <w:rsid w:val="00922A02"/>
    <w:rsid w:val="00925450"/>
    <w:rsid w:val="00925573"/>
    <w:rsid w:val="009319EC"/>
    <w:rsid w:val="00932220"/>
    <w:rsid w:val="00932B58"/>
    <w:rsid w:val="00936631"/>
    <w:rsid w:val="00937431"/>
    <w:rsid w:val="00946A2B"/>
    <w:rsid w:val="00947D60"/>
    <w:rsid w:val="00950E5F"/>
    <w:rsid w:val="0096056C"/>
    <w:rsid w:val="00960D75"/>
    <w:rsid w:val="00966466"/>
    <w:rsid w:val="00966AB5"/>
    <w:rsid w:val="009744BF"/>
    <w:rsid w:val="00976B54"/>
    <w:rsid w:val="009816FF"/>
    <w:rsid w:val="00987E52"/>
    <w:rsid w:val="00993DB7"/>
    <w:rsid w:val="00993F3A"/>
    <w:rsid w:val="00995AE2"/>
    <w:rsid w:val="009A24B7"/>
    <w:rsid w:val="009A350C"/>
    <w:rsid w:val="009B089F"/>
    <w:rsid w:val="009B0E8E"/>
    <w:rsid w:val="009B1D21"/>
    <w:rsid w:val="009B5543"/>
    <w:rsid w:val="009B61AA"/>
    <w:rsid w:val="009B66A8"/>
    <w:rsid w:val="009C0CF1"/>
    <w:rsid w:val="009C71F6"/>
    <w:rsid w:val="009C7C1A"/>
    <w:rsid w:val="009D34B5"/>
    <w:rsid w:val="009D35B4"/>
    <w:rsid w:val="009D57F9"/>
    <w:rsid w:val="009D71AA"/>
    <w:rsid w:val="009E4096"/>
    <w:rsid w:val="009E4550"/>
    <w:rsid w:val="009E4C9D"/>
    <w:rsid w:val="009E52F4"/>
    <w:rsid w:val="009F2E4D"/>
    <w:rsid w:val="009F35F6"/>
    <w:rsid w:val="009F3D38"/>
    <w:rsid w:val="009F53BD"/>
    <w:rsid w:val="009F6EBE"/>
    <w:rsid w:val="009F718B"/>
    <w:rsid w:val="00A00958"/>
    <w:rsid w:val="00A02458"/>
    <w:rsid w:val="00A02B29"/>
    <w:rsid w:val="00A02BC1"/>
    <w:rsid w:val="00A02BFE"/>
    <w:rsid w:val="00A030DE"/>
    <w:rsid w:val="00A069D5"/>
    <w:rsid w:val="00A11B5F"/>
    <w:rsid w:val="00A11D05"/>
    <w:rsid w:val="00A14236"/>
    <w:rsid w:val="00A1492D"/>
    <w:rsid w:val="00A15BF4"/>
    <w:rsid w:val="00A210BE"/>
    <w:rsid w:val="00A218AE"/>
    <w:rsid w:val="00A278AC"/>
    <w:rsid w:val="00A30028"/>
    <w:rsid w:val="00A30755"/>
    <w:rsid w:val="00A33100"/>
    <w:rsid w:val="00A35054"/>
    <w:rsid w:val="00A35B37"/>
    <w:rsid w:val="00A3783D"/>
    <w:rsid w:val="00A37DAF"/>
    <w:rsid w:val="00A414DE"/>
    <w:rsid w:val="00A4603C"/>
    <w:rsid w:val="00A513DF"/>
    <w:rsid w:val="00A52FDA"/>
    <w:rsid w:val="00A55DA2"/>
    <w:rsid w:val="00A57187"/>
    <w:rsid w:val="00A63487"/>
    <w:rsid w:val="00A647B6"/>
    <w:rsid w:val="00A72545"/>
    <w:rsid w:val="00A74A55"/>
    <w:rsid w:val="00A8021D"/>
    <w:rsid w:val="00A81AF3"/>
    <w:rsid w:val="00A93871"/>
    <w:rsid w:val="00AA2289"/>
    <w:rsid w:val="00AA24A8"/>
    <w:rsid w:val="00AA3E14"/>
    <w:rsid w:val="00AA6846"/>
    <w:rsid w:val="00AB081B"/>
    <w:rsid w:val="00AB1BE4"/>
    <w:rsid w:val="00AB2BB9"/>
    <w:rsid w:val="00AB37A4"/>
    <w:rsid w:val="00AB42A3"/>
    <w:rsid w:val="00AC3AD3"/>
    <w:rsid w:val="00AC4368"/>
    <w:rsid w:val="00AC5492"/>
    <w:rsid w:val="00AC5BC0"/>
    <w:rsid w:val="00AC6BBC"/>
    <w:rsid w:val="00AC6E36"/>
    <w:rsid w:val="00AD5FE6"/>
    <w:rsid w:val="00AD5FEE"/>
    <w:rsid w:val="00AD6DAE"/>
    <w:rsid w:val="00AE1633"/>
    <w:rsid w:val="00AE1B7D"/>
    <w:rsid w:val="00AE350E"/>
    <w:rsid w:val="00AF186C"/>
    <w:rsid w:val="00AF29DD"/>
    <w:rsid w:val="00B01E41"/>
    <w:rsid w:val="00B060F6"/>
    <w:rsid w:val="00B10921"/>
    <w:rsid w:val="00B13704"/>
    <w:rsid w:val="00B21804"/>
    <w:rsid w:val="00B21FCF"/>
    <w:rsid w:val="00B2360C"/>
    <w:rsid w:val="00B2429B"/>
    <w:rsid w:val="00B24AE5"/>
    <w:rsid w:val="00B25550"/>
    <w:rsid w:val="00B262DD"/>
    <w:rsid w:val="00B301AB"/>
    <w:rsid w:val="00B322C5"/>
    <w:rsid w:val="00B32552"/>
    <w:rsid w:val="00B34317"/>
    <w:rsid w:val="00B402C3"/>
    <w:rsid w:val="00B461B9"/>
    <w:rsid w:val="00B5111F"/>
    <w:rsid w:val="00B54DE5"/>
    <w:rsid w:val="00B56D97"/>
    <w:rsid w:val="00B61401"/>
    <w:rsid w:val="00B63503"/>
    <w:rsid w:val="00B65910"/>
    <w:rsid w:val="00B662B0"/>
    <w:rsid w:val="00B67D40"/>
    <w:rsid w:val="00B71B7C"/>
    <w:rsid w:val="00B71EB9"/>
    <w:rsid w:val="00B75BDD"/>
    <w:rsid w:val="00B763B7"/>
    <w:rsid w:val="00B7653B"/>
    <w:rsid w:val="00B77F2B"/>
    <w:rsid w:val="00B815FC"/>
    <w:rsid w:val="00B845C4"/>
    <w:rsid w:val="00B86818"/>
    <w:rsid w:val="00B93F28"/>
    <w:rsid w:val="00B961C6"/>
    <w:rsid w:val="00B96755"/>
    <w:rsid w:val="00BA0DD4"/>
    <w:rsid w:val="00BA22B1"/>
    <w:rsid w:val="00BA5482"/>
    <w:rsid w:val="00BA5543"/>
    <w:rsid w:val="00BB4136"/>
    <w:rsid w:val="00BB6783"/>
    <w:rsid w:val="00BB6DC8"/>
    <w:rsid w:val="00BC2C6E"/>
    <w:rsid w:val="00BC473E"/>
    <w:rsid w:val="00BC53CC"/>
    <w:rsid w:val="00BC54E3"/>
    <w:rsid w:val="00BD0568"/>
    <w:rsid w:val="00BD2E2F"/>
    <w:rsid w:val="00BD4697"/>
    <w:rsid w:val="00BD74AA"/>
    <w:rsid w:val="00BE019F"/>
    <w:rsid w:val="00BE3DED"/>
    <w:rsid w:val="00BE3E8E"/>
    <w:rsid w:val="00BF2719"/>
    <w:rsid w:val="00BF4FD2"/>
    <w:rsid w:val="00BF6B7A"/>
    <w:rsid w:val="00BF7AA5"/>
    <w:rsid w:val="00C049DB"/>
    <w:rsid w:val="00C052C2"/>
    <w:rsid w:val="00C0558D"/>
    <w:rsid w:val="00C07537"/>
    <w:rsid w:val="00C106A6"/>
    <w:rsid w:val="00C10CB9"/>
    <w:rsid w:val="00C10DA5"/>
    <w:rsid w:val="00C11725"/>
    <w:rsid w:val="00C12C27"/>
    <w:rsid w:val="00C146EC"/>
    <w:rsid w:val="00C20134"/>
    <w:rsid w:val="00C20D14"/>
    <w:rsid w:val="00C21171"/>
    <w:rsid w:val="00C2239B"/>
    <w:rsid w:val="00C235E6"/>
    <w:rsid w:val="00C272D5"/>
    <w:rsid w:val="00C33382"/>
    <w:rsid w:val="00C339E0"/>
    <w:rsid w:val="00C35703"/>
    <w:rsid w:val="00C37124"/>
    <w:rsid w:val="00C37BD8"/>
    <w:rsid w:val="00C47F7C"/>
    <w:rsid w:val="00C54EA4"/>
    <w:rsid w:val="00C57569"/>
    <w:rsid w:val="00C61B95"/>
    <w:rsid w:val="00C61BAF"/>
    <w:rsid w:val="00C62E1B"/>
    <w:rsid w:val="00C644FE"/>
    <w:rsid w:val="00C65A66"/>
    <w:rsid w:val="00C73B65"/>
    <w:rsid w:val="00C82DB8"/>
    <w:rsid w:val="00C834E0"/>
    <w:rsid w:val="00C85135"/>
    <w:rsid w:val="00C87AE2"/>
    <w:rsid w:val="00C9499C"/>
    <w:rsid w:val="00C97DB8"/>
    <w:rsid w:val="00CA3003"/>
    <w:rsid w:val="00CA3606"/>
    <w:rsid w:val="00CA574B"/>
    <w:rsid w:val="00CB33EC"/>
    <w:rsid w:val="00CC06BE"/>
    <w:rsid w:val="00CC3154"/>
    <w:rsid w:val="00CD109B"/>
    <w:rsid w:val="00CD2CB6"/>
    <w:rsid w:val="00CD32A0"/>
    <w:rsid w:val="00CD4361"/>
    <w:rsid w:val="00CD46D3"/>
    <w:rsid w:val="00CD4778"/>
    <w:rsid w:val="00CD78F3"/>
    <w:rsid w:val="00CE193B"/>
    <w:rsid w:val="00CE37A8"/>
    <w:rsid w:val="00CE37F0"/>
    <w:rsid w:val="00CE4B84"/>
    <w:rsid w:val="00CE617B"/>
    <w:rsid w:val="00CE6B4A"/>
    <w:rsid w:val="00CF0905"/>
    <w:rsid w:val="00CF19AF"/>
    <w:rsid w:val="00CF3239"/>
    <w:rsid w:val="00CF32CD"/>
    <w:rsid w:val="00CF3363"/>
    <w:rsid w:val="00CF5134"/>
    <w:rsid w:val="00D02351"/>
    <w:rsid w:val="00D04997"/>
    <w:rsid w:val="00D06019"/>
    <w:rsid w:val="00D07971"/>
    <w:rsid w:val="00D11293"/>
    <w:rsid w:val="00D11D26"/>
    <w:rsid w:val="00D13119"/>
    <w:rsid w:val="00D156BB"/>
    <w:rsid w:val="00D15B84"/>
    <w:rsid w:val="00D2515A"/>
    <w:rsid w:val="00D25A20"/>
    <w:rsid w:val="00D31D50"/>
    <w:rsid w:val="00D33E50"/>
    <w:rsid w:val="00D34619"/>
    <w:rsid w:val="00D3774B"/>
    <w:rsid w:val="00D42D57"/>
    <w:rsid w:val="00D44416"/>
    <w:rsid w:val="00D449CF"/>
    <w:rsid w:val="00D455C4"/>
    <w:rsid w:val="00D522AE"/>
    <w:rsid w:val="00D5254F"/>
    <w:rsid w:val="00D55A61"/>
    <w:rsid w:val="00D566FD"/>
    <w:rsid w:val="00D5701F"/>
    <w:rsid w:val="00D57547"/>
    <w:rsid w:val="00D6288C"/>
    <w:rsid w:val="00D6383C"/>
    <w:rsid w:val="00D63DFD"/>
    <w:rsid w:val="00D63F9B"/>
    <w:rsid w:val="00D657BF"/>
    <w:rsid w:val="00D66AE7"/>
    <w:rsid w:val="00D67D38"/>
    <w:rsid w:val="00D71D77"/>
    <w:rsid w:val="00D72EEC"/>
    <w:rsid w:val="00D74776"/>
    <w:rsid w:val="00D7615A"/>
    <w:rsid w:val="00D80158"/>
    <w:rsid w:val="00D814A2"/>
    <w:rsid w:val="00D843A2"/>
    <w:rsid w:val="00D851EE"/>
    <w:rsid w:val="00D852A0"/>
    <w:rsid w:val="00D8621A"/>
    <w:rsid w:val="00D87F24"/>
    <w:rsid w:val="00D90682"/>
    <w:rsid w:val="00D91F9E"/>
    <w:rsid w:val="00D93596"/>
    <w:rsid w:val="00D949F8"/>
    <w:rsid w:val="00D97030"/>
    <w:rsid w:val="00DA19A8"/>
    <w:rsid w:val="00DA33FC"/>
    <w:rsid w:val="00DA7EA3"/>
    <w:rsid w:val="00DB0BB6"/>
    <w:rsid w:val="00DB0BC5"/>
    <w:rsid w:val="00DB299E"/>
    <w:rsid w:val="00DB430B"/>
    <w:rsid w:val="00DB5A2A"/>
    <w:rsid w:val="00DC2F65"/>
    <w:rsid w:val="00DC5B77"/>
    <w:rsid w:val="00DC6E50"/>
    <w:rsid w:val="00DD3343"/>
    <w:rsid w:val="00DD3ED0"/>
    <w:rsid w:val="00DE4B05"/>
    <w:rsid w:val="00DE4E80"/>
    <w:rsid w:val="00DF3CD3"/>
    <w:rsid w:val="00DF44DF"/>
    <w:rsid w:val="00DF4DD3"/>
    <w:rsid w:val="00DF5470"/>
    <w:rsid w:val="00E03CD6"/>
    <w:rsid w:val="00E041EB"/>
    <w:rsid w:val="00E05D25"/>
    <w:rsid w:val="00E06198"/>
    <w:rsid w:val="00E13AC2"/>
    <w:rsid w:val="00E16D6C"/>
    <w:rsid w:val="00E238F1"/>
    <w:rsid w:val="00E259C9"/>
    <w:rsid w:val="00E25C2C"/>
    <w:rsid w:val="00E302AD"/>
    <w:rsid w:val="00E3037C"/>
    <w:rsid w:val="00E52400"/>
    <w:rsid w:val="00E57B58"/>
    <w:rsid w:val="00E641CD"/>
    <w:rsid w:val="00E64354"/>
    <w:rsid w:val="00E645AE"/>
    <w:rsid w:val="00E653C8"/>
    <w:rsid w:val="00E658A6"/>
    <w:rsid w:val="00E67765"/>
    <w:rsid w:val="00E72C62"/>
    <w:rsid w:val="00E74876"/>
    <w:rsid w:val="00E75F9A"/>
    <w:rsid w:val="00E77DB9"/>
    <w:rsid w:val="00E821CF"/>
    <w:rsid w:val="00E831CA"/>
    <w:rsid w:val="00E844D6"/>
    <w:rsid w:val="00E87D19"/>
    <w:rsid w:val="00E94FB3"/>
    <w:rsid w:val="00E96A3C"/>
    <w:rsid w:val="00EA4961"/>
    <w:rsid w:val="00EA61FE"/>
    <w:rsid w:val="00EA6E95"/>
    <w:rsid w:val="00EB15F1"/>
    <w:rsid w:val="00EB675B"/>
    <w:rsid w:val="00EB73F0"/>
    <w:rsid w:val="00EC0665"/>
    <w:rsid w:val="00EC4112"/>
    <w:rsid w:val="00EC50A8"/>
    <w:rsid w:val="00EC55AE"/>
    <w:rsid w:val="00ED1547"/>
    <w:rsid w:val="00ED294F"/>
    <w:rsid w:val="00ED3F6E"/>
    <w:rsid w:val="00ED465C"/>
    <w:rsid w:val="00ED6E78"/>
    <w:rsid w:val="00ED7B92"/>
    <w:rsid w:val="00EE00CC"/>
    <w:rsid w:val="00EE2A59"/>
    <w:rsid w:val="00EE399B"/>
    <w:rsid w:val="00EE4545"/>
    <w:rsid w:val="00EF27C7"/>
    <w:rsid w:val="00EF6661"/>
    <w:rsid w:val="00F0368C"/>
    <w:rsid w:val="00F1022C"/>
    <w:rsid w:val="00F11076"/>
    <w:rsid w:val="00F112A2"/>
    <w:rsid w:val="00F15F2E"/>
    <w:rsid w:val="00F2170B"/>
    <w:rsid w:val="00F21B5C"/>
    <w:rsid w:val="00F22276"/>
    <w:rsid w:val="00F231BE"/>
    <w:rsid w:val="00F26AD1"/>
    <w:rsid w:val="00F26F0A"/>
    <w:rsid w:val="00F321EE"/>
    <w:rsid w:val="00F37302"/>
    <w:rsid w:val="00F41425"/>
    <w:rsid w:val="00F44816"/>
    <w:rsid w:val="00F4731A"/>
    <w:rsid w:val="00F47FE1"/>
    <w:rsid w:val="00F52169"/>
    <w:rsid w:val="00F52DC4"/>
    <w:rsid w:val="00F62D94"/>
    <w:rsid w:val="00F63BB7"/>
    <w:rsid w:val="00F656D1"/>
    <w:rsid w:val="00F660F5"/>
    <w:rsid w:val="00F71F6F"/>
    <w:rsid w:val="00F748FE"/>
    <w:rsid w:val="00F775F5"/>
    <w:rsid w:val="00F84C20"/>
    <w:rsid w:val="00F84DB8"/>
    <w:rsid w:val="00F90307"/>
    <w:rsid w:val="00F9154A"/>
    <w:rsid w:val="00F91ADA"/>
    <w:rsid w:val="00F9448E"/>
    <w:rsid w:val="00F97EFB"/>
    <w:rsid w:val="00FA392D"/>
    <w:rsid w:val="00FB2A0D"/>
    <w:rsid w:val="00FB40E0"/>
    <w:rsid w:val="00FB494A"/>
    <w:rsid w:val="00FB7728"/>
    <w:rsid w:val="00FB797B"/>
    <w:rsid w:val="00FC0C17"/>
    <w:rsid w:val="00FC35F5"/>
    <w:rsid w:val="00FC79E3"/>
    <w:rsid w:val="00FD2003"/>
    <w:rsid w:val="00FE25C5"/>
    <w:rsid w:val="00FE2CF1"/>
    <w:rsid w:val="00FE38E8"/>
    <w:rsid w:val="00FE4675"/>
    <w:rsid w:val="00FF1895"/>
    <w:rsid w:val="00FF4AD7"/>
    <w:rsid w:val="00FF50D6"/>
    <w:rsid w:val="00FF77A6"/>
    <w:rsid w:val="01564995"/>
    <w:rsid w:val="047C774D"/>
    <w:rsid w:val="05746676"/>
    <w:rsid w:val="06F4717A"/>
    <w:rsid w:val="09636DE3"/>
    <w:rsid w:val="09A73E9B"/>
    <w:rsid w:val="0B261376"/>
    <w:rsid w:val="0B6558C0"/>
    <w:rsid w:val="0BB52B60"/>
    <w:rsid w:val="0C180798"/>
    <w:rsid w:val="0E8F25E0"/>
    <w:rsid w:val="0F122D22"/>
    <w:rsid w:val="0F227143"/>
    <w:rsid w:val="0F4C6376"/>
    <w:rsid w:val="0FBB33D1"/>
    <w:rsid w:val="12963262"/>
    <w:rsid w:val="12E732D3"/>
    <w:rsid w:val="13E13032"/>
    <w:rsid w:val="142D2812"/>
    <w:rsid w:val="14E93977"/>
    <w:rsid w:val="15DA734A"/>
    <w:rsid w:val="174D4F79"/>
    <w:rsid w:val="19F811CC"/>
    <w:rsid w:val="1AE2691A"/>
    <w:rsid w:val="1AF044C1"/>
    <w:rsid w:val="1B8C2F55"/>
    <w:rsid w:val="1C390942"/>
    <w:rsid w:val="1DAD3AAA"/>
    <w:rsid w:val="1DC95DA3"/>
    <w:rsid w:val="1E441DC4"/>
    <w:rsid w:val="1F96322F"/>
    <w:rsid w:val="20855DFE"/>
    <w:rsid w:val="20AA2775"/>
    <w:rsid w:val="21481B16"/>
    <w:rsid w:val="21597EE7"/>
    <w:rsid w:val="22034BB2"/>
    <w:rsid w:val="22425874"/>
    <w:rsid w:val="229213FB"/>
    <w:rsid w:val="22D74C72"/>
    <w:rsid w:val="23D72CC5"/>
    <w:rsid w:val="255736FB"/>
    <w:rsid w:val="260D0026"/>
    <w:rsid w:val="26B1359A"/>
    <w:rsid w:val="271C1F19"/>
    <w:rsid w:val="27366CA1"/>
    <w:rsid w:val="27506B58"/>
    <w:rsid w:val="27D20B74"/>
    <w:rsid w:val="297939AC"/>
    <w:rsid w:val="2A032F13"/>
    <w:rsid w:val="2A570389"/>
    <w:rsid w:val="2A6B59EA"/>
    <w:rsid w:val="2AA6244A"/>
    <w:rsid w:val="2DE756D3"/>
    <w:rsid w:val="2F070AC5"/>
    <w:rsid w:val="2FCE76C6"/>
    <w:rsid w:val="30567728"/>
    <w:rsid w:val="31315B9F"/>
    <w:rsid w:val="3439451D"/>
    <w:rsid w:val="348509F0"/>
    <w:rsid w:val="34DE1ABD"/>
    <w:rsid w:val="35083766"/>
    <w:rsid w:val="354B20A1"/>
    <w:rsid w:val="362D539C"/>
    <w:rsid w:val="362D68EC"/>
    <w:rsid w:val="365A76DD"/>
    <w:rsid w:val="369B434D"/>
    <w:rsid w:val="3A1420D7"/>
    <w:rsid w:val="3A2B4A28"/>
    <w:rsid w:val="3C2B590C"/>
    <w:rsid w:val="3CF135A9"/>
    <w:rsid w:val="400D2147"/>
    <w:rsid w:val="41D1334A"/>
    <w:rsid w:val="4218007C"/>
    <w:rsid w:val="42F36340"/>
    <w:rsid w:val="43DB097C"/>
    <w:rsid w:val="440A3B27"/>
    <w:rsid w:val="441B42EB"/>
    <w:rsid w:val="44385F83"/>
    <w:rsid w:val="44E872A8"/>
    <w:rsid w:val="45474732"/>
    <w:rsid w:val="454977CF"/>
    <w:rsid w:val="45D025A1"/>
    <w:rsid w:val="4702443D"/>
    <w:rsid w:val="474A2312"/>
    <w:rsid w:val="4803473B"/>
    <w:rsid w:val="480A6EC6"/>
    <w:rsid w:val="482E4298"/>
    <w:rsid w:val="48460FC9"/>
    <w:rsid w:val="488B7E75"/>
    <w:rsid w:val="48FD2991"/>
    <w:rsid w:val="496C0B5A"/>
    <w:rsid w:val="49864024"/>
    <w:rsid w:val="4A7973CC"/>
    <w:rsid w:val="4C4249D5"/>
    <w:rsid w:val="4C6F7950"/>
    <w:rsid w:val="4D3C5F90"/>
    <w:rsid w:val="4D3E2E92"/>
    <w:rsid w:val="4D497D97"/>
    <w:rsid w:val="4E2B3D32"/>
    <w:rsid w:val="4E880069"/>
    <w:rsid w:val="4ED73CEC"/>
    <w:rsid w:val="4EEA719B"/>
    <w:rsid w:val="4F29249D"/>
    <w:rsid w:val="4F49473C"/>
    <w:rsid w:val="4FC534DE"/>
    <w:rsid w:val="500B6507"/>
    <w:rsid w:val="500E1385"/>
    <w:rsid w:val="50BB49D3"/>
    <w:rsid w:val="52273FCE"/>
    <w:rsid w:val="522F1868"/>
    <w:rsid w:val="53454EB9"/>
    <w:rsid w:val="53533A4B"/>
    <w:rsid w:val="54030829"/>
    <w:rsid w:val="54D7702F"/>
    <w:rsid w:val="553849B5"/>
    <w:rsid w:val="58304F3B"/>
    <w:rsid w:val="5A8C62CB"/>
    <w:rsid w:val="5B0E44E3"/>
    <w:rsid w:val="5BD60666"/>
    <w:rsid w:val="5C934EC9"/>
    <w:rsid w:val="5D36409F"/>
    <w:rsid w:val="5D9F0F2C"/>
    <w:rsid w:val="5DC92EA4"/>
    <w:rsid w:val="5DD5494D"/>
    <w:rsid w:val="5E204C59"/>
    <w:rsid w:val="5FCB5246"/>
    <w:rsid w:val="61627777"/>
    <w:rsid w:val="6178126B"/>
    <w:rsid w:val="61F67C78"/>
    <w:rsid w:val="62182475"/>
    <w:rsid w:val="62CC3F12"/>
    <w:rsid w:val="64CA506C"/>
    <w:rsid w:val="65375DDA"/>
    <w:rsid w:val="65561C5C"/>
    <w:rsid w:val="67146104"/>
    <w:rsid w:val="67FC77A9"/>
    <w:rsid w:val="68451CF9"/>
    <w:rsid w:val="68563AB3"/>
    <w:rsid w:val="6AA57E39"/>
    <w:rsid w:val="6DC5678C"/>
    <w:rsid w:val="6E796C4A"/>
    <w:rsid w:val="6F5B27FA"/>
    <w:rsid w:val="6FA768BC"/>
    <w:rsid w:val="70367D7B"/>
    <w:rsid w:val="71AD74DE"/>
    <w:rsid w:val="724D77BB"/>
    <w:rsid w:val="72F74D38"/>
    <w:rsid w:val="73EF0121"/>
    <w:rsid w:val="74575644"/>
    <w:rsid w:val="749515DB"/>
    <w:rsid w:val="77295CB1"/>
    <w:rsid w:val="7733165E"/>
    <w:rsid w:val="7765443F"/>
    <w:rsid w:val="77E0436F"/>
    <w:rsid w:val="796D3AD3"/>
    <w:rsid w:val="79B02AD4"/>
    <w:rsid w:val="7BD0125E"/>
    <w:rsid w:val="7BD96D38"/>
    <w:rsid w:val="7BFE6555"/>
    <w:rsid w:val="7DCD1314"/>
    <w:rsid w:val="7DD877C6"/>
    <w:rsid w:val="7F1E5B9E"/>
    <w:rsid w:val="7F54529C"/>
    <w:rsid w:val="7FCB6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F6661"/>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EF6661"/>
    <w:pPr>
      <w:keepNext/>
      <w:keepLines/>
      <w:spacing w:line="576" w:lineRule="auto"/>
      <w:outlineLvl w:val="0"/>
    </w:pPr>
    <w:rPr>
      <w:b/>
      <w:kern w:val="44"/>
      <w:sz w:val="44"/>
    </w:rPr>
  </w:style>
  <w:style w:type="paragraph" w:styleId="20">
    <w:name w:val="heading 2"/>
    <w:basedOn w:val="a"/>
    <w:next w:val="a"/>
    <w:link w:val="2Char"/>
    <w:uiPriority w:val="9"/>
    <w:unhideWhenUsed/>
    <w:qFormat/>
    <w:rsid w:val="00EF66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F6661"/>
    <w:pPr>
      <w:spacing w:line="480" w:lineRule="auto"/>
      <w:ind w:leftChars="200" w:left="420"/>
    </w:pPr>
    <w:rPr>
      <w:rFonts w:ascii="Times New Roman" w:eastAsia="宋体" w:hAnsi="Times New Roman" w:cs="Times New Roman"/>
    </w:rPr>
  </w:style>
  <w:style w:type="paragraph" w:styleId="a3">
    <w:name w:val="endnote text"/>
    <w:basedOn w:val="a"/>
    <w:link w:val="Char"/>
    <w:uiPriority w:val="99"/>
    <w:semiHidden/>
    <w:unhideWhenUsed/>
    <w:qFormat/>
    <w:rsid w:val="00EF6661"/>
  </w:style>
  <w:style w:type="paragraph" w:styleId="a4">
    <w:name w:val="Balloon Text"/>
    <w:basedOn w:val="a"/>
    <w:link w:val="Char0"/>
    <w:uiPriority w:val="99"/>
    <w:unhideWhenUsed/>
    <w:qFormat/>
    <w:rsid w:val="00EF6661"/>
    <w:pPr>
      <w:spacing w:after="0"/>
    </w:pPr>
    <w:rPr>
      <w:sz w:val="18"/>
      <w:szCs w:val="18"/>
    </w:rPr>
  </w:style>
  <w:style w:type="paragraph" w:styleId="a5">
    <w:name w:val="footer"/>
    <w:basedOn w:val="a"/>
    <w:link w:val="Char1"/>
    <w:uiPriority w:val="99"/>
    <w:unhideWhenUsed/>
    <w:qFormat/>
    <w:rsid w:val="00EF6661"/>
    <w:pPr>
      <w:tabs>
        <w:tab w:val="center" w:pos="4153"/>
        <w:tab w:val="right" w:pos="8306"/>
      </w:tabs>
    </w:pPr>
    <w:rPr>
      <w:sz w:val="18"/>
      <w:szCs w:val="18"/>
    </w:rPr>
  </w:style>
  <w:style w:type="paragraph" w:styleId="a6">
    <w:name w:val="header"/>
    <w:basedOn w:val="a"/>
    <w:link w:val="Char2"/>
    <w:uiPriority w:val="99"/>
    <w:unhideWhenUsed/>
    <w:qFormat/>
    <w:rsid w:val="00EF6661"/>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EF6661"/>
  </w:style>
  <w:style w:type="paragraph" w:styleId="a7">
    <w:name w:val="footnote text"/>
    <w:basedOn w:val="a"/>
    <w:link w:val="Char3"/>
    <w:unhideWhenUsed/>
    <w:qFormat/>
    <w:rsid w:val="00EF6661"/>
    <w:rPr>
      <w:sz w:val="18"/>
      <w:szCs w:val="18"/>
    </w:rPr>
  </w:style>
  <w:style w:type="paragraph" w:styleId="21">
    <w:name w:val="toc 2"/>
    <w:basedOn w:val="a"/>
    <w:next w:val="a"/>
    <w:uiPriority w:val="39"/>
    <w:unhideWhenUsed/>
    <w:qFormat/>
    <w:rsid w:val="00EF6661"/>
    <w:pPr>
      <w:ind w:leftChars="200" w:left="420"/>
    </w:pPr>
  </w:style>
  <w:style w:type="paragraph" w:styleId="a8">
    <w:name w:val="Normal (Web)"/>
    <w:basedOn w:val="a"/>
    <w:uiPriority w:val="99"/>
    <w:unhideWhenUsed/>
    <w:qFormat/>
    <w:rsid w:val="00EF6661"/>
    <w:rPr>
      <w:rFonts w:ascii="Times New Roman" w:hAnsi="Times New Roman" w:cs="Times New Roman"/>
      <w:sz w:val="24"/>
      <w:szCs w:val="24"/>
    </w:rPr>
  </w:style>
  <w:style w:type="table" w:styleId="a9">
    <w:name w:val="Table Grid"/>
    <w:basedOn w:val="a1"/>
    <w:uiPriority w:val="59"/>
    <w:qFormat/>
    <w:rsid w:val="00EF66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ndnote reference"/>
    <w:basedOn w:val="a0"/>
    <w:uiPriority w:val="99"/>
    <w:semiHidden/>
    <w:unhideWhenUsed/>
    <w:qFormat/>
    <w:rsid w:val="00EF6661"/>
    <w:rPr>
      <w:vertAlign w:val="superscript"/>
    </w:rPr>
  </w:style>
  <w:style w:type="character" w:styleId="ab">
    <w:name w:val="Hyperlink"/>
    <w:basedOn w:val="a0"/>
    <w:uiPriority w:val="99"/>
    <w:unhideWhenUsed/>
    <w:qFormat/>
    <w:rsid w:val="00EF6661"/>
    <w:rPr>
      <w:color w:val="0000FF" w:themeColor="hyperlink"/>
      <w:u w:val="single"/>
    </w:rPr>
  </w:style>
  <w:style w:type="character" w:styleId="ac">
    <w:name w:val="footnote reference"/>
    <w:basedOn w:val="a0"/>
    <w:unhideWhenUsed/>
    <w:qFormat/>
    <w:rsid w:val="00EF6661"/>
    <w:rPr>
      <w:vertAlign w:val="superscript"/>
    </w:rPr>
  </w:style>
  <w:style w:type="character" w:customStyle="1" w:styleId="Char2">
    <w:name w:val="页眉 Char"/>
    <w:basedOn w:val="a0"/>
    <w:link w:val="a6"/>
    <w:uiPriority w:val="99"/>
    <w:semiHidden/>
    <w:qFormat/>
    <w:rsid w:val="00EF6661"/>
    <w:rPr>
      <w:rFonts w:ascii="Tahoma" w:hAnsi="Tahoma"/>
      <w:sz w:val="18"/>
      <w:szCs w:val="18"/>
    </w:rPr>
  </w:style>
  <w:style w:type="character" w:customStyle="1" w:styleId="Char1">
    <w:name w:val="页脚 Char"/>
    <w:basedOn w:val="a0"/>
    <w:link w:val="a5"/>
    <w:uiPriority w:val="99"/>
    <w:qFormat/>
    <w:rsid w:val="00EF6661"/>
    <w:rPr>
      <w:rFonts w:ascii="Tahoma" w:hAnsi="Tahoma"/>
      <w:sz w:val="18"/>
      <w:szCs w:val="18"/>
    </w:rPr>
  </w:style>
  <w:style w:type="paragraph" w:customStyle="1" w:styleId="WPSOffice1">
    <w:name w:val="WPSOffice手动目录 1"/>
    <w:qFormat/>
    <w:rsid w:val="00EF6661"/>
    <w:rPr>
      <w:rFonts w:asciiTheme="minorHAnsi" w:eastAsia="微软雅黑" w:hAnsiTheme="minorHAnsi" w:cstheme="minorBidi"/>
    </w:rPr>
  </w:style>
  <w:style w:type="character" w:customStyle="1" w:styleId="Char0">
    <w:name w:val="批注框文本 Char"/>
    <w:basedOn w:val="a0"/>
    <w:link w:val="a4"/>
    <w:uiPriority w:val="99"/>
    <w:semiHidden/>
    <w:qFormat/>
    <w:rsid w:val="00EF6661"/>
    <w:rPr>
      <w:rFonts w:ascii="Tahoma" w:hAnsi="Tahoma"/>
      <w:sz w:val="18"/>
      <w:szCs w:val="18"/>
    </w:rPr>
  </w:style>
  <w:style w:type="paragraph" w:customStyle="1" w:styleId="11">
    <w:name w:val="列出段落1"/>
    <w:basedOn w:val="a"/>
    <w:uiPriority w:val="34"/>
    <w:qFormat/>
    <w:rsid w:val="00EF6661"/>
    <w:pPr>
      <w:ind w:firstLineChars="200" w:firstLine="420"/>
    </w:pPr>
  </w:style>
  <w:style w:type="paragraph" w:styleId="ad">
    <w:name w:val="List Paragraph"/>
    <w:basedOn w:val="a"/>
    <w:uiPriority w:val="99"/>
    <w:unhideWhenUsed/>
    <w:qFormat/>
    <w:rsid w:val="00EF6661"/>
    <w:pPr>
      <w:ind w:firstLineChars="200" w:firstLine="420"/>
    </w:pPr>
  </w:style>
  <w:style w:type="character" w:customStyle="1" w:styleId="Char3">
    <w:name w:val="脚注文本 Char"/>
    <w:basedOn w:val="a0"/>
    <w:link w:val="a7"/>
    <w:uiPriority w:val="99"/>
    <w:semiHidden/>
    <w:qFormat/>
    <w:rsid w:val="00EF6661"/>
    <w:rPr>
      <w:rFonts w:ascii="Tahoma" w:hAnsi="Tahoma"/>
      <w:sz w:val="18"/>
      <w:szCs w:val="18"/>
    </w:rPr>
  </w:style>
  <w:style w:type="character" w:customStyle="1" w:styleId="2Char">
    <w:name w:val="标题 2 Char"/>
    <w:basedOn w:val="a0"/>
    <w:link w:val="20"/>
    <w:uiPriority w:val="9"/>
    <w:qFormat/>
    <w:rsid w:val="00EF6661"/>
    <w:rPr>
      <w:rFonts w:asciiTheme="majorHAnsi" w:eastAsiaTheme="majorEastAsia" w:hAnsiTheme="majorHAnsi" w:cstheme="majorBidi"/>
      <w:b/>
      <w:bCs/>
      <w:sz w:val="32"/>
      <w:szCs w:val="32"/>
    </w:rPr>
  </w:style>
  <w:style w:type="character" w:customStyle="1" w:styleId="Char">
    <w:name w:val="尾注文本 Char"/>
    <w:basedOn w:val="a0"/>
    <w:link w:val="a3"/>
    <w:uiPriority w:val="99"/>
    <w:semiHidden/>
    <w:qFormat/>
    <w:rsid w:val="00EF6661"/>
    <w:rPr>
      <w:rFonts w:ascii="Tahoma" w:eastAsia="微软雅黑" w:hAnsi="Tahoma" w:cstheme="minorBidi"/>
      <w:sz w:val="22"/>
      <w:szCs w:val="22"/>
    </w:rPr>
  </w:style>
  <w:style w:type="character" w:customStyle="1" w:styleId="ae">
    <w:name w:val="脚注文本 字符"/>
    <w:qFormat/>
    <w:rsid w:val="00EF666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FB29D-9052-4D8D-A7F0-806EE36C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872</Words>
  <Characters>4973</Characters>
  <Application>Microsoft Office Word</Application>
  <DocSecurity>0</DocSecurity>
  <Lines>41</Lines>
  <Paragraphs>11</Paragraphs>
  <ScaleCrop>false</ScaleCrop>
  <Company>微软中国</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李罡</cp:lastModifiedBy>
  <cp:revision>4</cp:revision>
  <cp:lastPrinted>2024-07-19T06:28:00Z</cp:lastPrinted>
  <dcterms:created xsi:type="dcterms:W3CDTF">2024-09-20T03:02:00Z</dcterms:created>
  <dcterms:modified xsi:type="dcterms:W3CDTF">2024-09-20T03:03:00Z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FA657D528173482CB394B1F49C29E508_13</vt:lpwstr>
  </property>
</Properties>
</file>