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textAlignment w:val="center"/>
        <w:outlineLvl w:val="0"/>
        <w:rPr>
          <w:rFonts w:eastAsia="方正小标宋简体"/>
          <w:sz w:val="48"/>
          <w:szCs w:val="48"/>
        </w:rPr>
      </w:pPr>
    </w:p>
    <w:p>
      <w:pPr>
        <w:spacing w:line="588" w:lineRule="exact"/>
        <w:jc w:val="center"/>
        <w:textAlignment w:val="center"/>
        <w:outlineLvl w:val="0"/>
        <w:rPr>
          <w:rFonts w:eastAsia="方正小标宋简体"/>
          <w:sz w:val="48"/>
          <w:szCs w:val="48"/>
        </w:rPr>
      </w:pPr>
    </w:p>
    <w:p>
      <w:pPr>
        <w:spacing w:line="588" w:lineRule="exact"/>
        <w:jc w:val="center"/>
        <w:textAlignment w:val="center"/>
        <w:outlineLvl w:val="0"/>
        <w:rPr>
          <w:rFonts w:eastAsia="方正小标宋简体"/>
          <w:sz w:val="48"/>
          <w:szCs w:val="48"/>
        </w:rPr>
      </w:pPr>
      <w:r>
        <w:rPr>
          <w:rFonts w:eastAsia="方正小标宋简体"/>
          <w:sz w:val="48"/>
          <w:szCs w:val="48"/>
        </w:rPr>
        <w:t>关于推动建筑业持续发展若干政策</w:t>
      </w:r>
    </w:p>
    <w:p>
      <w:pPr>
        <w:pStyle w:val="2"/>
        <w:spacing w:line="588" w:lineRule="exact"/>
        <w:ind w:firstLine="419" w:firstLineChars="131"/>
        <w:jc w:val="center"/>
        <w:rPr>
          <w:rFonts w:ascii="仿宋_GB2312" w:eastAsia="仿宋_GB2312"/>
          <w:color w:val="333333"/>
          <w:sz w:val="32"/>
          <w:szCs w:val="32"/>
          <w:shd w:val="clear" w:color="auto" w:fill="FFFFFF"/>
        </w:rPr>
      </w:pPr>
      <w:r>
        <w:rPr>
          <w:rFonts w:ascii="仿宋_GB2312" w:eastAsia="仿宋_GB2312"/>
          <w:color w:val="333333"/>
          <w:sz w:val="32"/>
          <w:szCs w:val="32"/>
          <w:shd w:val="clear" w:color="auto" w:fill="FFFFFF"/>
        </w:rPr>
        <w:t>（征求意见稿）</w:t>
      </w:r>
    </w:p>
    <w:p>
      <w:pPr>
        <w:pStyle w:val="2"/>
        <w:ind w:firstLine="640"/>
        <w:rPr>
          <w:rFonts w:ascii="黑体" w:hAnsi="黑体" w:eastAsia="黑体"/>
          <w:sz w:val="32"/>
          <w:szCs w:val="32"/>
        </w:rPr>
      </w:pPr>
    </w:p>
    <w:p>
      <w:pPr>
        <w:pStyle w:val="2"/>
        <w:spacing w:line="580" w:lineRule="exact"/>
        <w:ind w:firstLine="640"/>
        <w:rPr>
          <w:rFonts w:ascii="黑体" w:hAnsi="黑体" w:eastAsia="黑体"/>
          <w:sz w:val="32"/>
          <w:szCs w:val="32"/>
        </w:rPr>
      </w:pPr>
      <w:r>
        <w:rPr>
          <w:rFonts w:hint="eastAsia" w:ascii="黑体" w:hAnsi="黑体" w:eastAsia="黑体"/>
          <w:sz w:val="32"/>
          <w:szCs w:val="32"/>
        </w:rPr>
        <w:t>一、发展建筑业总部经济</w:t>
      </w:r>
    </w:p>
    <w:p>
      <w:pPr>
        <w:pStyle w:val="2"/>
        <w:spacing w:line="58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鼓励支持外地建筑业总部企业迁入或在我区设立总部企业，结合招商政策，给予资金奖励和用地政策、购房指标等方面支持。鼓励存量企业提升经济总量，将更多增量业务板块迁入区内，结合招商政策对增量的产值和税收给予奖励。</w:t>
      </w:r>
    </w:p>
    <w:p>
      <w:pPr>
        <w:spacing w:line="580" w:lineRule="exact"/>
        <w:ind w:firstLine="640"/>
        <w:rPr>
          <w:sz w:val="32"/>
        </w:rPr>
      </w:pPr>
      <w:r>
        <w:rPr>
          <w:rFonts w:hint="eastAsia" w:ascii="仿宋_GB2312" w:eastAsia="仿宋_GB2312"/>
          <w:color w:val="333333"/>
          <w:sz w:val="32"/>
          <w:szCs w:val="32"/>
          <w:shd w:val="clear" w:color="auto" w:fill="FFFFFF"/>
        </w:rPr>
        <w:t>落户我区的建筑业总部企业，具有特级（综合）资质且落户后连续两年产值达到50亿元的，第三年给予一次性奖励1000万元，享受政策后10年内不得迁出。</w:t>
      </w:r>
    </w:p>
    <w:p>
      <w:pPr>
        <w:spacing w:line="58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鼓励建筑业企业增产创收，对区内注册建筑业企业产值首次超过500亿、</w:t>
      </w:r>
      <w:r>
        <w:rPr>
          <w:rFonts w:hint="eastAsia" w:ascii="仿宋_GB2312" w:eastAsia="仿宋_GB2312"/>
          <w:color w:val="333333"/>
          <w:sz w:val="32"/>
          <w:szCs w:val="32"/>
          <w:shd w:val="clear" w:color="auto" w:fill="FFFFFF"/>
          <w:lang w:val="en-US" w:eastAsia="zh-CN"/>
        </w:rPr>
        <w:t>400亿、300亿、200亿、</w:t>
      </w:r>
      <w:r>
        <w:rPr>
          <w:rFonts w:hint="eastAsia" w:ascii="仿宋_GB2312" w:eastAsia="仿宋_GB2312"/>
          <w:color w:val="333333"/>
          <w:sz w:val="32"/>
          <w:szCs w:val="32"/>
          <w:shd w:val="clear" w:color="auto" w:fill="FFFFFF"/>
        </w:rPr>
        <w:t>100亿、50亿、10亿</w:t>
      </w:r>
      <w:r>
        <w:rPr>
          <w:rFonts w:hint="eastAsia" w:ascii="仿宋_GB2312" w:eastAsia="仿宋_GB2312"/>
          <w:color w:val="333333"/>
          <w:sz w:val="32"/>
          <w:szCs w:val="32"/>
          <w:shd w:val="clear" w:color="auto" w:fill="FFFFFF"/>
          <w:lang w:eastAsia="zh-CN"/>
        </w:rPr>
        <w:t>且年度产值增长率达到</w:t>
      </w:r>
      <w:r>
        <w:rPr>
          <w:rFonts w:hint="eastAsia" w:ascii="仿宋_GB2312" w:eastAsia="仿宋_GB2312"/>
          <w:color w:val="333333"/>
          <w:sz w:val="32"/>
          <w:szCs w:val="32"/>
          <w:shd w:val="clear" w:color="auto" w:fill="FFFFFF"/>
          <w:lang w:val="en-US" w:eastAsia="zh-CN"/>
        </w:rPr>
        <w:t>15%</w:t>
      </w:r>
      <w:r>
        <w:rPr>
          <w:rFonts w:hint="eastAsia" w:ascii="仿宋_GB2312" w:eastAsia="仿宋_GB2312"/>
          <w:color w:val="333333"/>
          <w:sz w:val="32"/>
          <w:szCs w:val="32"/>
          <w:shd w:val="clear" w:color="auto" w:fill="FFFFFF"/>
        </w:rPr>
        <w:t>的，分别在次年奖励500万、</w:t>
      </w:r>
      <w:r>
        <w:rPr>
          <w:rFonts w:hint="eastAsia" w:ascii="仿宋_GB2312" w:eastAsia="仿宋_GB2312"/>
          <w:color w:val="333333"/>
          <w:sz w:val="32"/>
          <w:szCs w:val="32"/>
          <w:shd w:val="clear" w:color="auto" w:fill="FFFFFF"/>
          <w:lang w:val="en-US" w:eastAsia="zh-CN"/>
        </w:rPr>
        <w:t>400万、300万、200万、</w:t>
      </w:r>
      <w:r>
        <w:rPr>
          <w:rFonts w:hint="eastAsia" w:ascii="仿宋_GB2312" w:eastAsia="仿宋_GB2312"/>
          <w:color w:val="333333"/>
          <w:sz w:val="32"/>
          <w:szCs w:val="32"/>
          <w:shd w:val="clear" w:color="auto" w:fill="FFFFFF"/>
        </w:rPr>
        <w:t>100万、50万、10万。</w:t>
      </w:r>
    </w:p>
    <w:p>
      <w:pPr>
        <w:spacing w:line="580" w:lineRule="exact"/>
        <w:ind w:firstLine="640" w:firstLineChars="200"/>
        <w:outlineLvl w:val="0"/>
        <w:rPr>
          <w:rFonts w:ascii="黑体" w:hAnsi="黑体" w:eastAsia="黑体"/>
          <w:sz w:val="32"/>
          <w:szCs w:val="32"/>
        </w:rPr>
      </w:pPr>
      <w:r>
        <w:rPr>
          <w:rFonts w:hint="eastAsia" w:ascii="黑体" w:hAnsi="黑体" w:eastAsia="黑体"/>
          <w:sz w:val="32"/>
          <w:szCs w:val="32"/>
        </w:rPr>
        <w:t>二、支持企业加快提升资质</w:t>
      </w:r>
    </w:p>
    <w:p>
      <w:pPr>
        <w:pStyle w:val="2"/>
        <w:spacing w:line="580" w:lineRule="exact"/>
        <w:ind w:firstLine="640"/>
      </w:pPr>
      <w:r>
        <w:rPr>
          <w:rFonts w:hint="eastAsia" w:ascii="仿宋_GB2312" w:eastAsia="仿宋_GB2312"/>
          <w:color w:val="333333"/>
          <w:sz w:val="32"/>
          <w:szCs w:val="32"/>
          <w:shd w:val="clear" w:color="auto" w:fill="FFFFFF"/>
        </w:rPr>
        <w:t>针对建筑业总部企业在我区成立子公司</w:t>
      </w:r>
      <w:r>
        <w:rPr>
          <w:rFonts w:hint="eastAsia" w:ascii="仿宋_GB2312" w:eastAsia="仿宋_GB2312"/>
          <w:color w:val="333333"/>
          <w:sz w:val="32"/>
          <w:szCs w:val="32"/>
          <w:shd w:val="clear" w:color="auto" w:fill="FFFFFF"/>
          <w:lang w:eastAsia="zh-CN"/>
        </w:rPr>
        <w:t>新申办资质</w:t>
      </w:r>
      <w:r>
        <w:rPr>
          <w:rFonts w:hint="eastAsia" w:ascii="仿宋_GB2312" w:eastAsia="仿宋_GB2312"/>
          <w:color w:val="333333"/>
          <w:sz w:val="32"/>
          <w:szCs w:val="32"/>
          <w:shd w:val="clear" w:color="auto" w:fill="FFFFFF"/>
        </w:rPr>
        <w:t>的或已注册建筑业总部企业资质增项的，</w:t>
      </w:r>
      <w:r>
        <w:rPr>
          <w:rFonts w:hint="eastAsia" w:ascii="仿宋_GB2312" w:eastAsia="仿宋_GB2312"/>
          <w:color w:val="333333"/>
          <w:sz w:val="32"/>
          <w:szCs w:val="32"/>
          <w:shd w:val="clear" w:color="auto" w:fill="FFFFFF"/>
          <w:lang w:eastAsia="zh-CN"/>
        </w:rPr>
        <w:t>建立便捷通道制度，经审批部门、招商部门和行业主管等部门专题研究，在现行政策允许的范围内支持公司加快取得相关资质，企业取得资质后行业主管部门加强事中事后监管。</w:t>
      </w:r>
    </w:p>
    <w:p>
      <w:pPr>
        <w:pStyle w:val="2"/>
        <w:spacing w:line="580" w:lineRule="exact"/>
        <w:ind w:firstLine="640"/>
        <w:rPr>
          <w:rFonts w:ascii="黑体" w:hAnsi="黑体" w:eastAsia="黑体"/>
          <w:sz w:val="32"/>
          <w:szCs w:val="32"/>
        </w:rPr>
      </w:pPr>
      <w:r>
        <w:rPr>
          <w:rFonts w:hint="eastAsia" w:ascii="黑体" w:hAnsi="黑体" w:eastAsia="黑体"/>
          <w:sz w:val="32"/>
          <w:szCs w:val="32"/>
        </w:rPr>
        <w:t>三、支持建筑业做大做强</w:t>
      </w:r>
    </w:p>
    <w:p>
      <w:pPr>
        <w:pStyle w:val="2"/>
        <w:spacing w:line="58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实施建筑业示范企业培育计划，建立重点建筑企业和示范培育企业名录，对施工总承包、专业分包以及勘察设计企业择优重点扶持，加大行业指导、政策服务以及招商项目推介。</w:t>
      </w:r>
    </w:p>
    <w:p>
      <w:pPr>
        <w:pStyle w:val="2"/>
        <w:spacing w:line="58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鼓励引导重点企业进行智能建造、绿色建材等试点领域的尝试推广，指导服务企业争取示范等相关荣誉。</w:t>
      </w:r>
    </w:p>
    <w:p>
      <w:pPr>
        <w:pStyle w:val="2"/>
        <w:spacing w:line="580" w:lineRule="exact"/>
        <w:ind w:firstLine="640"/>
        <w:rPr>
          <w:rFonts w:ascii="黑体" w:hAnsi="黑体" w:eastAsia="黑体"/>
          <w:sz w:val="32"/>
          <w:szCs w:val="32"/>
        </w:rPr>
      </w:pPr>
      <w:r>
        <w:rPr>
          <w:rFonts w:hint="eastAsia" w:ascii="黑体" w:hAnsi="黑体" w:eastAsia="黑体"/>
          <w:sz w:val="32"/>
          <w:szCs w:val="32"/>
        </w:rPr>
        <w:t>四、鼓励企业拓展本地市场</w:t>
      </w:r>
    </w:p>
    <w:p>
      <w:pPr>
        <w:pStyle w:val="2"/>
        <w:spacing w:line="580" w:lineRule="exact"/>
        <w:ind w:firstLine="640"/>
        <w:rPr>
          <w:rFonts w:hint="eastAsia" w:ascii="黑体" w:hAnsi="黑体" w:eastAsia="黑体"/>
          <w:sz w:val="32"/>
          <w:szCs w:val="32"/>
        </w:rPr>
      </w:pPr>
      <w:r>
        <w:rPr>
          <w:rFonts w:hint="eastAsia" w:ascii="仿宋_GB2312" w:eastAsia="仿宋_GB2312"/>
          <w:color w:val="333333"/>
          <w:sz w:val="32"/>
          <w:szCs w:val="32"/>
          <w:shd w:val="clear" w:color="auto" w:fill="FFFFFF"/>
        </w:rPr>
        <w:t>支持保税区社会投资项目发包给区内建筑企业承建，按照签订的施工合同价款由财政给予该项目建设单位一定比例的资金奖励。施工合同价款1000万至5000万的，给予合同价款4‰的奖励；施工合同价款5000万至10000万的，给予合同价款3‰的奖励；施工合同价款10000万以上的，给予合同价款2‰的奖励。以上在建设期内分年度申请拨付。</w:t>
      </w:r>
      <w:bookmarkStart w:id="0" w:name="_GoBack"/>
      <w:bookmarkEnd w:id="0"/>
    </w:p>
    <w:p>
      <w:pPr>
        <w:pStyle w:val="2"/>
        <w:spacing w:line="580" w:lineRule="exact"/>
        <w:ind w:firstLine="640"/>
        <w:rPr>
          <w:rFonts w:ascii="黑体" w:hAnsi="黑体" w:eastAsia="黑体"/>
          <w:sz w:val="32"/>
          <w:szCs w:val="32"/>
        </w:rPr>
      </w:pPr>
      <w:r>
        <w:rPr>
          <w:rFonts w:hint="eastAsia" w:ascii="黑体" w:hAnsi="黑体" w:eastAsia="黑体"/>
          <w:sz w:val="32"/>
          <w:szCs w:val="32"/>
        </w:rPr>
        <w:t>五、支持企业参与重大项目建设</w:t>
      </w:r>
    </w:p>
    <w:p>
      <w:pPr>
        <w:pStyle w:val="2"/>
        <w:spacing w:line="58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在年度建设项目计划中明确一定数量的建设项目支持联合体投标，鼓励外地企业与本地建筑业企业或者本地建筑业企业与母公司组建联合体参与投资建设。联合体产生的业绩区内予以认可。</w:t>
      </w:r>
    </w:p>
    <w:p>
      <w:pPr>
        <w:pStyle w:val="2"/>
        <w:spacing w:line="580" w:lineRule="exact"/>
        <w:ind w:firstLine="640"/>
        <w:rPr>
          <w:rFonts w:hint="eastAsia" w:ascii="黑体" w:hAnsi="黑体" w:eastAsia="黑体"/>
          <w:sz w:val="32"/>
          <w:szCs w:val="32"/>
        </w:rPr>
      </w:pPr>
      <w:r>
        <w:rPr>
          <w:rFonts w:hint="eastAsia" w:ascii="仿宋_GB2312" w:eastAsia="仿宋_GB2312"/>
          <w:color w:val="333333"/>
          <w:sz w:val="32"/>
          <w:szCs w:val="32"/>
          <w:shd w:val="clear" w:color="auto" w:fill="FFFFFF"/>
        </w:rPr>
        <w:t>支持建筑业企业以多种形式参与我区重点项目建设、特许经营以及片区开发，扶持骨干企业做大做强。</w:t>
      </w:r>
    </w:p>
    <w:p>
      <w:pPr>
        <w:pStyle w:val="2"/>
        <w:spacing w:line="580" w:lineRule="exact"/>
        <w:ind w:firstLine="640"/>
        <w:rPr>
          <w:rFonts w:ascii="黑体" w:hAnsi="黑体" w:eastAsia="黑体"/>
          <w:sz w:val="32"/>
          <w:szCs w:val="32"/>
        </w:rPr>
      </w:pPr>
      <w:r>
        <w:rPr>
          <w:rFonts w:hint="eastAsia" w:ascii="黑体" w:hAnsi="黑体" w:eastAsia="黑体"/>
          <w:sz w:val="32"/>
          <w:szCs w:val="32"/>
        </w:rPr>
        <w:t>六、建立和强化建筑业服务机制</w:t>
      </w:r>
    </w:p>
    <w:p>
      <w:pPr>
        <w:pStyle w:val="2"/>
        <w:spacing w:line="58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建立定期走访机制，协调解决建筑企业发展重点难点问题。建立帮扶长效机制，为企业发展提供服务指导，帮助企业纾困解难。建立通报表扬机制，对年度营业收入增速快、履约能力强、信誉度高、主动参与应急抢险的建筑企业进行表扬。</w:t>
      </w:r>
    </w:p>
    <w:p>
      <w:pPr>
        <w:pStyle w:val="2"/>
        <w:spacing w:line="580" w:lineRule="exact"/>
        <w:ind w:firstLine="640"/>
        <w:rPr>
          <w:rFonts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以上政策试行3年，从政策发布之日起执行，不与招商政策重叠。</w:t>
      </w:r>
    </w:p>
    <w:p>
      <w:pPr>
        <w:spacing w:line="580" w:lineRule="exact"/>
        <w:jc w:val="right"/>
        <w:outlineLvl w:val="0"/>
        <w:rPr>
          <w:rFonts w:hint="eastAsia" w:ascii="仿宋_GB2312" w:eastAsia="仿宋_GB2312"/>
          <w:color w:val="333333"/>
          <w:sz w:val="32"/>
          <w:szCs w:val="32"/>
          <w:shd w:val="clear" w:color="auto" w:fill="FFFFFF"/>
        </w:rPr>
      </w:pPr>
    </w:p>
    <w:p>
      <w:pPr>
        <w:spacing w:line="580" w:lineRule="exact"/>
        <w:jc w:val="right"/>
        <w:outlineLvl w:val="0"/>
        <w:rPr>
          <w:rFonts w:hint="eastAsia" w:ascii="仿宋_GB2312" w:eastAsia="仿宋_GB2312"/>
          <w:color w:val="333333"/>
          <w:sz w:val="32"/>
          <w:szCs w:val="32"/>
          <w:shd w:val="clear" w:color="auto" w:fill="FFFFFF"/>
        </w:rPr>
      </w:pPr>
    </w:p>
    <w:p>
      <w:pPr>
        <w:spacing w:line="580" w:lineRule="exact"/>
        <w:jc w:val="right"/>
        <w:outlineLvl w:val="0"/>
      </w:pPr>
      <w:r>
        <w:rPr>
          <w:rFonts w:hint="eastAsia" w:ascii="仿宋_GB2312" w:eastAsia="仿宋_GB2312"/>
          <w:color w:val="333333"/>
          <w:sz w:val="32"/>
          <w:szCs w:val="32"/>
          <w:shd w:val="clear" w:color="auto" w:fill="FFFFFF"/>
        </w:rPr>
        <w:t>2024年</w:t>
      </w:r>
      <w:r>
        <w:rPr>
          <w:rFonts w:hint="eastAsia" w:ascii="仿宋_GB2312" w:eastAsia="仿宋_GB2312"/>
          <w:color w:val="333333"/>
          <w:sz w:val="32"/>
          <w:szCs w:val="32"/>
          <w:shd w:val="clear" w:color="auto" w:fill="FFFFFF"/>
          <w:lang w:val="en-US" w:eastAsia="zh-CN"/>
        </w:rPr>
        <w:t>5</w:t>
      </w:r>
      <w:r>
        <w:rPr>
          <w:rFonts w:hint="eastAsia" w:ascii="仿宋_GB2312" w:eastAsia="仿宋_GB2312"/>
          <w:color w:val="333333"/>
          <w:sz w:val="32"/>
          <w:szCs w:val="32"/>
          <w:shd w:val="clear" w:color="auto" w:fill="FFFFFF"/>
        </w:rPr>
        <w:t>月</w:t>
      </w:r>
      <w:r>
        <w:rPr>
          <w:rFonts w:hint="eastAsia" w:ascii="仿宋_GB2312" w:eastAsia="仿宋_GB2312"/>
          <w:color w:val="333333"/>
          <w:sz w:val="32"/>
          <w:szCs w:val="32"/>
          <w:shd w:val="clear" w:color="auto" w:fill="FFFFFF"/>
          <w:lang w:val="en-US" w:eastAsia="zh-CN"/>
        </w:rPr>
        <w:t>29</w:t>
      </w:r>
      <w:r>
        <w:rPr>
          <w:rFonts w:hint="eastAsia" w:ascii="仿宋_GB2312" w:eastAsia="仿宋_GB2312"/>
          <w:color w:val="333333"/>
          <w:sz w:val="32"/>
          <w:szCs w:val="32"/>
          <w:shd w:val="clear" w:color="auto" w:fill="FFFFFF"/>
        </w:rPr>
        <w:t>日</w:t>
      </w:r>
    </w:p>
    <w:sectPr>
      <w:footerReference r:id="rId3" w:type="default"/>
      <w:pgSz w:w="11906" w:h="16838"/>
      <w:pgMar w:top="2098" w:right="1474" w:bottom="192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Calibri" w:hAnsi="Calibri" w:eastAsia="宋体" w:cs="宋体"/>
        <w:kern w:val="2"/>
        <w:sz w:val="18"/>
        <w:szCs w:val="18"/>
        <w:lang w:val="en-US" w:eastAsia="zh-CN" w:bidi="ar-SA"/>
      </w:rPr>
      <w:pict>
        <v:rect id="文本框 1" o:spid="_x0000_s4097" o:spt="1" style="position:absolute;left:0pt;margin-top:0pt;height:11pt;width:4.6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ExODA3YmIwODEwMWJiNDZkYTlmNmU4MDIwZWVkZGYifQ=="/>
  </w:docVars>
  <w:rsids>
    <w:rsidRoot w:val="00000000"/>
    <w:rsid w:val="6EFD75D2"/>
    <w:rsid w:val="6FFD2C1A"/>
    <w:rsid w:val="770D21D9"/>
    <w:rsid w:val="7D7F3C21"/>
    <w:rsid w:val="7EBBB414"/>
    <w:rsid w:val="7FDE3C44"/>
    <w:rsid w:val="DFAAC6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style>
  <w:style w:type="paragraph" w:styleId="3">
    <w:name w:val="Date"/>
    <w:basedOn w:val="1"/>
    <w:next w:val="1"/>
    <w:link w:val="15"/>
    <w:qFormat/>
    <w:uiPriority w:val="0"/>
    <w:pPr>
      <w:ind w:left="100" w:leftChars="2500"/>
    </w:pPr>
  </w:style>
  <w:style w:type="paragraph" w:styleId="4">
    <w:name w:val="footer"/>
    <w:basedOn w:val="1"/>
    <w:link w:val="11"/>
    <w:qFormat/>
    <w:uiPriority w:val="99"/>
    <w:pPr>
      <w:tabs>
        <w:tab w:val="center" w:pos="4153"/>
        <w:tab w:val="right" w:pos="8306"/>
      </w:tabs>
      <w:snapToGrid w:val="0"/>
      <w:jc w:val="left"/>
    </w:pPr>
    <w:rPr>
      <w:rFonts w:ascii="Calibri" w:hAnsi="Calibri" w:cs="宋体"/>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Calibri" w:hAnsi="Calibri" w:cs="宋体"/>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qFormat/>
    <w:uiPriority w:val="22"/>
    <w:rPr>
      <w:b/>
      <w:bCs/>
    </w:rPr>
  </w:style>
  <w:style w:type="paragraph" w:customStyle="1" w:styleId="10">
    <w:name w:val="列出段落1"/>
    <w:basedOn w:val="1"/>
    <w:qFormat/>
    <w:uiPriority w:val="34"/>
    <w:pPr>
      <w:ind w:firstLine="420" w:firstLineChars="200"/>
    </w:pPr>
  </w:style>
  <w:style w:type="character" w:customStyle="1" w:styleId="11">
    <w:name w:val="页脚 Char"/>
    <w:link w:val="4"/>
    <w:qFormat/>
    <w:uiPriority w:val="99"/>
    <w:rPr>
      <w:sz w:val="18"/>
      <w:szCs w:val="18"/>
    </w:rPr>
  </w:style>
  <w:style w:type="character" w:customStyle="1" w:styleId="12">
    <w:name w:val="页眉 Char"/>
    <w:link w:val="5"/>
    <w:qFormat/>
    <w:uiPriority w:val="99"/>
    <w:rPr>
      <w:sz w:val="18"/>
      <w:szCs w:val="18"/>
    </w:rPr>
  </w:style>
  <w:style w:type="character" w:customStyle="1" w:styleId="13">
    <w:name w:val="NormalCharacter"/>
    <w:qFormat/>
    <w:uiPriority w:val="0"/>
  </w:style>
  <w:style w:type="character" w:customStyle="1" w:styleId="14">
    <w:name w:val="15"/>
    <w:qFormat/>
    <w:uiPriority w:val="0"/>
    <w:rPr>
      <w:rFonts w:hint="default" w:ascii="Calibri" w:hAnsi="Calibri" w:eastAsia="宋体" w:cs="Calibri"/>
    </w:rPr>
  </w:style>
  <w:style w:type="character" w:customStyle="1" w:styleId="15">
    <w:name w:val="日期 Char"/>
    <w:link w:val="3"/>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1009</Words>
  <Characters>1061</Characters>
  <Lines>9</Lines>
  <Paragraphs>2</Paragraphs>
  <TotalTime>6</TotalTime>
  <ScaleCrop>false</ScaleCrop>
  <LinksUpToDate>false</LinksUpToDate>
  <CharactersWithSpaces>1061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2024-04-19T23:58:00Z</dcterms:created>
  <dc:creator>王鑫</dc:creator>
  <cp:lastModifiedBy>赵雪倩</cp:lastModifiedBy>
  <cp:lastPrinted>2020-01-05T20:44:00Z</cp:lastPrinted>
  <dcterms:modified xsi:type="dcterms:W3CDTF">2024-06-19T03:10:54Z</dcterms:modified>
  <dc:title>关于推动建筑业持续发展若干政策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16DA5B1EE71141C4B7A8682D0813CB93_13</vt:lpwstr>
  </property>
</Properties>
</file>