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天津港保税区航空产业支持中心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2022年部门预算编制说明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部门主要职责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天津港保税区航空产业支持中心主要职责是：承担区域航空产业、空客项目及其配套产业的支持服务工作。主要负责全区航空产业发展运营推动工作；开展招商引资工作；负责推动扩大空客合作和空客及其他航空产业项目支持服务保障工作；负责推动航空企业与政府、科研、教育、金融等机构和其他产业间交流合作；负责天津直博会筹备组织工作等。下设三个科：航空产业招商部、综合科、欧洲办事处。</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部门机构设置情况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航产中心内设3个职能科室，下辖1个预算单位。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三、部门预算草案编制情况</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部门收入预算情况说明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部门收入预算59631.35万元，全部为一般公共预算拨款收入。与2021年度相比增加59631.35万元，主要原因为：本单位为2022年度新增预算单位。</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3" w:firstLineChars="200"/>
        <w:textAlignment w:val="auto"/>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部门支出预算情况说明</w:t>
      </w:r>
    </w:p>
    <w:p>
      <w:pPr>
        <w:spacing w:line="60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航产中心2022年一般公共预算支出59631.35万元，与2021年度相比增加59631.35万元，主要原因为：本单位为2022年度新增预算单位。其中：“资源勘探工业信息等支出（类）”59631.35万元，与2022年预算相比增加59631.35万元。具体情况为：</w:t>
      </w:r>
    </w:p>
    <w:p>
      <w:pPr>
        <w:spacing w:line="600" w:lineRule="exact"/>
        <w:ind w:firstLine="640" w:firstLineChars="20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“制造业（款）”57631.35 万元，包括：“行政运行（项）” 652.15万元，主要用于人员经费及公用经费的支出 ；“交通运输设备制造业（项）”56979.2万元，主要用于为保障空客项目顺利进行提供资金保障</w:t>
      </w:r>
      <w:bookmarkStart w:id="0" w:name="_GoBack"/>
      <w:bookmarkEnd w:id="0"/>
      <w:r>
        <w:rPr>
          <w:rFonts w:hint="eastAsia" w:ascii="仿宋_GB2312" w:hAnsi="仿宋_GB2312" w:eastAsia="仿宋_GB2312" w:cs="仿宋_GB2312"/>
          <w:b w:val="0"/>
          <w:bCs w:val="0"/>
          <w:sz w:val="32"/>
          <w:szCs w:val="32"/>
          <w:lang w:val="en-US" w:eastAsia="zh-CN"/>
        </w:rPr>
        <w:t>及日常招商经费的报销。</w:t>
      </w:r>
    </w:p>
    <w:p>
      <w:pPr>
        <w:spacing w:line="600" w:lineRule="exact"/>
        <w:ind w:firstLine="640" w:firstLineChars="20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“支持中小企业发展和管理支出（款）” 2000万元，包括：“中小企业发展专项（项 ）” 2000万元，主要用于对符合规定的企业进行政策性补贴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四、其他重要事项的情况说明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（一）机关运行经费</w:t>
      </w:r>
    </w:p>
    <w:p>
      <w:pPr>
        <w:spacing w:line="600" w:lineRule="exact"/>
        <w:ind w:firstLine="640" w:firstLineChars="200"/>
        <w:rPr>
          <w:rFonts w:hint="default" w:eastAsia="仿宋_GB2312"/>
          <w:sz w:val="30"/>
          <w:szCs w:val="30"/>
          <w:lang w:val="en-US" w:eastAsia="zh-CN"/>
        </w:rPr>
      </w:pPr>
      <w:r>
        <w:rPr>
          <w:rFonts w:hint="eastAsia" w:ascii="仿宋_GB2312" w:hAnsi="仿宋_GB2312" w:eastAsia="仿宋_GB2312" w:cs="仿宋_GB2312"/>
          <w:b w:val="0"/>
          <w:bCs w:val="0"/>
          <w:sz w:val="32"/>
          <w:szCs w:val="32"/>
          <w:lang w:val="en-US" w:eastAsia="zh-CN"/>
        </w:rPr>
        <w:t>本部门2022年安排机关运行经费预算20.16万元，与2021年度相比增加20.16万元，主要原因为：本单位为2022年度新增预算单位。</w:t>
      </w:r>
      <w:r>
        <w:rPr>
          <w:rFonts w:eastAsia="仿宋_GB2312"/>
          <w:sz w:val="30"/>
          <w:szCs w:val="30"/>
        </w:rPr>
        <w:t>其中</w:t>
      </w:r>
      <w:r>
        <w:rPr>
          <w:rFonts w:hint="eastAsia" w:eastAsia="仿宋_GB2312"/>
          <w:sz w:val="30"/>
          <w:szCs w:val="30"/>
          <w:lang w:val="en-US" w:eastAsia="zh-CN"/>
        </w:rPr>
        <w:t>包括办公费1万元，差旅费8万元，工会经费8.16万元，其他交通费用3万元。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highlight w:val="none"/>
          <w:lang w:val="en-US" w:eastAsia="zh-CN"/>
        </w:rPr>
      </w:pPr>
      <w:r>
        <w:rPr>
          <w:rFonts w:hint="eastAsia" w:ascii="楷体_GB2312" w:hAnsi="楷体_GB2312" w:eastAsia="楷体_GB2312" w:cs="楷体_GB2312"/>
          <w:b/>
          <w:bCs/>
          <w:sz w:val="32"/>
          <w:szCs w:val="32"/>
          <w:highlight w:val="none"/>
          <w:lang w:val="en-US" w:eastAsia="zh-CN"/>
        </w:rPr>
        <w:t>（二）政府采购情况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本部门20</w:t>
      </w:r>
      <w:r>
        <w:rPr>
          <w:rFonts w:hint="default" w:ascii="仿宋_GB2312" w:hAnsi="仿宋_GB2312" w:eastAsia="仿宋_GB2312" w:cs="仿宋_GB2312"/>
          <w:b w:val="0"/>
          <w:bCs w:val="0"/>
          <w:sz w:val="32"/>
          <w:szCs w:val="32"/>
          <w:highlight w:val="none"/>
          <w:lang w:val="en-US" w:eastAsia="zh-CN"/>
        </w:rPr>
        <w:t>22</w:t>
      </w:r>
      <w:r>
        <w:rPr>
          <w:rFonts w:hint="eastAsia" w:ascii="仿宋_GB2312" w:hAnsi="仿宋_GB2312" w:eastAsia="仿宋_GB2312" w:cs="仿宋_GB2312"/>
          <w:b w:val="0"/>
          <w:bCs w:val="0"/>
          <w:sz w:val="32"/>
          <w:szCs w:val="32"/>
          <w:highlight w:val="none"/>
          <w:lang w:val="en-US" w:eastAsia="zh-CN"/>
        </w:rPr>
        <w:t>年安排政府采购预算9536.43万元，其中：政府采购货物支出587.33万元、政府采购工程支出0万元、政府采购服务支出8949.1万元。主要项目是空客工业物业管理服务。</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国有资产占用情况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本部门各科室共有车辆0辆。</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绩效目标设置情况</w:t>
      </w:r>
    </w:p>
    <w:p>
      <w:pPr>
        <w:spacing w:line="580" w:lineRule="exact"/>
        <w:ind w:firstLine="640" w:firstLineChars="200"/>
        <w:jc w:val="both"/>
        <w:rPr>
          <w:rFonts w:hint="default" w:ascii="楷体_GB2312" w:hAnsi="楷体_GB2312" w:eastAsia="楷体_GB2312" w:cs="楷体_GB2312"/>
          <w:b/>
          <w:bCs/>
          <w:sz w:val="32"/>
          <w:szCs w:val="32"/>
          <w:lang w:val="en-US" w:eastAsia="zh-CN"/>
        </w:rPr>
      </w:pPr>
      <w:r>
        <w:rPr>
          <w:rFonts w:hint="eastAsia" w:ascii="仿宋_GB2312" w:hAnsi="仿宋_GB2312" w:eastAsia="仿宋_GB2312" w:cs="仿宋_GB2312"/>
          <w:b w:val="0"/>
          <w:bCs w:val="0"/>
          <w:sz w:val="32"/>
          <w:szCs w:val="32"/>
          <w:lang w:val="en-US" w:eastAsia="zh-CN"/>
        </w:rPr>
        <w:t>2022年，本部门实行绩效目标管理的项目3个，涉及预算金额58979.20万元。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（五）专业性词解释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1.部门预算。是指主管预算部门依据相关法律、法规和政策规定及其行使职能需要，组织所属预算单位编制并逐级上报、审核、汇总，经财政部门审核后按程序依法批准的部门综合收支计划。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（六）关于空表的说明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1.本部门2022年财政拨款政府性基金预算支出预算表为空表。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2.本部门2022年财政拨款一般公共预算“三 公” 经费支出预算表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11B924"/>
    <w:multiLevelType w:val="singleLevel"/>
    <w:tmpl w:val="3411B924"/>
    <w:lvl w:ilvl="0" w:tentative="0">
      <w:start w:val="1"/>
      <w:numFmt w:val="chineseCounting"/>
      <w:suff w:val="nothing"/>
      <w:lvlText w:val="（%1）"/>
      <w:lvlJc w:val="left"/>
      <w:rPr>
        <w:rFonts w:hint="eastAsia"/>
      </w:rPr>
    </w:lvl>
  </w:abstractNum>
  <w:abstractNum w:abstractNumId="1">
    <w:nsid w:val="3A206B4D"/>
    <w:multiLevelType w:val="singleLevel"/>
    <w:tmpl w:val="3A206B4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s>
  <w:rsids>
    <w:rsidRoot w:val="00000000"/>
    <w:rsid w:val="00510B10"/>
    <w:rsid w:val="00AB3452"/>
    <w:rsid w:val="010D1085"/>
    <w:rsid w:val="018D256C"/>
    <w:rsid w:val="026779BA"/>
    <w:rsid w:val="02B52978"/>
    <w:rsid w:val="037759DB"/>
    <w:rsid w:val="03D8611F"/>
    <w:rsid w:val="04D23811"/>
    <w:rsid w:val="07311DEC"/>
    <w:rsid w:val="09E17F5A"/>
    <w:rsid w:val="0B793722"/>
    <w:rsid w:val="0BFA474A"/>
    <w:rsid w:val="0C4207F0"/>
    <w:rsid w:val="0D755681"/>
    <w:rsid w:val="0D9240DB"/>
    <w:rsid w:val="0E5E1E31"/>
    <w:rsid w:val="10C45410"/>
    <w:rsid w:val="12FE6C66"/>
    <w:rsid w:val="152F7F10"/>
    <w:rsid w:val="15D80A00"/>
    <w:rsid w:val="171F21BA"/>
    <w:rsid w:val="18153CE9"/>
    <w:rsid w:val="1BB21094"/>
    <w:rsid w:val="1C3849DA"/>
    <w:rsid w:val="1C4534AF"/>
    <w:rsid w:val="1CB15FAA"/>
    <w:rsid w:val="1D570900"/>
    <w:rsid w:val="1DFD725C"/>
    <w:rsid w:val="1E4D16C6"/>
    <w:rsid w:val="1E560BB7"/>
    <w:rsid w:val="22D12F02"/>
    <w:rsid w:val="232218F9"/>
    <w:rsid w:val="29D472E5"/>
    <w:rsid w:val="2CA17437"/>
    <w:rsid w:val="30980D0B"/>
    <w:rsid w:val="310570DC"/>
    <w:rsid w:val="312B4CBC"/>
    <w:rsid w:val="31C27624"/>
    <w:rsid w:val="336B6278"/>
    <w:rsid w:val="350F0945"/>
    <w:rsid w:val="38A10829"/>
    <w:rsid w:val="38A94E31"/>
    <w:rsid w:val="39883BBB"/>
    <w:rsid w:val="3AD62A0C"/>
    <w:rsid w:val="3E3044EA"/>
    <w:rsid w:val="3F5B3E15"/>
    <w:rsid w:val="41391F08"/>
    <w:rsid w:val="41B24E1F"/>
    <w:rsid w:val="41BA3087"/>
    <w:rsid w:val="41DD6D76"/>
    <w:rsid w:val="4395795B"/>
    <w:rsid w:val="43992A22"/>
    <w:rsid w:val="45BB2DB2"/>
    <w:rsid w:val="460A6D23"/>
    <w:rsid w:val="46A36064"/>
    <w:rsid w:val="49435357"/>
    <w:rsid w:val="496B1FB0"/>
    <w:rsid w:val="49F56F96"/>
    <w:rsid w:val="4A287B65"/>
    <w:rsid w:val="4A807E11"/>
    <w:rsid w:val="4AFD1C66"/>
    <w:rsid w:val="4B410400"/>
    <w:rsid w:val="4BB557CD"/>
    <w:rsid w:val="4CAF3C45"/>
    <w:rsid w:val="4DA11181"/>
    <w:rsid w:val="4EE07EA5"/>
    <w:rsid w:val="50735F0E"/>
    <w:rsid w:val="50953CFF"/>
    <w:rsid w:val="531E71EE"/>
    <w:rsid w:val="533B1AA3"/>
    <w:rsid w:val="549C3957"/>
    <w:rsid w:val="54F95790"/>
    <w:rsid w:val="56373EA8"/>
    <w:rsid w:val="566973FC"/>
    <w:rsid w:val="571019F7"/>
    <w:rsid w:val="59B14918"/>
    <w:rsid w:val="59C17E20"/>
    <w:rsid w:val="5BC2341A"/>
    <w:rsid w:val="5BCA7F13"/>
    <w:rsid w:val="5BE523DE"/>
    <w:rsid w:val="5BFD51BD"/>
    <w:rsid w:val="5C417DF0"/>
    <w:rsid w:val="5D15186D"/>
    <w:rsid w:val="5D325F03"/>
    <w:rsid w:val="5EF02A09"/>
    <w:rsid w:val="61222175"/>
    <w:rsid w:val="61BB6431"/>
    <w:rsid w:val="621434B1"/>
    <w:rsid w:val="63B42C98"/>
    <w:rsid w:val="64237779"/>
    <w:rsid w:val="652D05F8"/>
    <w:rsid w:val="65556AA0"/>
    <w:rsid w:val="665E09E7"/>
    <w:rsid w:val="66906DD3"/>
    <w:rsid w:val="66EA1469"/>
    <w:rsid w:val="67310E46"/>
    <w:rsid w:val="67470452"/>
    <w:rsid w:val="67495785"/>
    <w:rsid w:val="68CB621D"/>
    <w:rsid w:val="69C71002"/>
    <w:rsid w:val="69FB0D0D"/>
    <w:rsid w:val="6A5512F0"/>
    <w:rsid w:val="6BD51283"/>
    <w:rsid w:val="6BEF0C80"/>
    <w:rsid w:val="6DD93FE6"/>
    <w:rsid w:val="6E984517"/>
    <w:rsid w:val="6F4C4690"/>
    <w:rsid w:val="71EA0570"/>
    <w:rsid w:val="73B1252A"/>
    <w:rsid w:val="745F0A94"/>
    <w:rsid w:val="74637F1A"/>
    <w:rsid w:val="74856C75"/>
    <w:rsid w:val="7809295B"/>
    <w:rsid w:val="78B418D7"/>
    <w:rsid w:val="78EF46BD"/>
    <w:rsid w:val="79E02C2E"/>
    <w:rsid w:val="7B9309F9"/>
    <w:rsid w:val="7DC06DAA"/>
    <w:rsid w:val="7F155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516</Words>
  <Characters>563</Characters>
  <Lines>0</Lines>
  <Paragraphs>0</Paragraphs>
  <TotalTime>101</TotalTime>
  <ScaleCrop>false</ScaleCrop>
  <LinksUpToDate>false</LinksUpToDate>
  <CharactersWithSpaces>563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天天向上</cp:lastModifiedBy>
  <dcterms:modified xsi:type="dcterms:W3CDTF">2024-05-14T01:19:45Z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07DF33FEDCD7498E85605143729311D2_13</vt:lpwstr>
  </property>
</Properties>
</file>