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line="240" w:lineRule="auto"/>
        <w:rPr>
          <w:sz w:val="20"/>
        </w:rPr>
      </w:pPr>
      <w:bookmarkStart w:id="1" w:name="_GoBack"/>
      <w:bookmarkEnd w:id="1"/>
    </w:p>
    <w:p>
      <w:pPr>
        <w:spacing w:before="11" w:line="240" w:lineRule="auto"/>
        <w:rPr>
          <w:sz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w w:val="95"/>
          <w:kern w:val="2"/>
          <w:sz w:val="44"/>
          <w:szCs w:val="44"/>
          <w:lang w:val="en-US" w:eastAsia="zh-CN" w:bidi="ar-SA"/>
        </w:rPr>
      </w:pPr>
      <w:bookmarkStart w:id="0" w:name="2022年国有资本经营预算支出情况说明.pdf"/>
      <w:bookmarkEnd w:id="0"/>
      <w:r>
        <w:rPr>
          <w:rFonts w:hint="eastAsia" w:ascii="方正小标宋简体" w:hAnsi="方正小标宋简体" w:eastAsia="方正小标宋简体" w:cs="方正小标宋简体"/>
          <w:w w:val="95"/>
          <w:kern w:val="2"/>
          <w:sz w:val="44"/>
          <w:szCs w:val="44"/>
          <w:lang w:val="en-US" w:eastAsia="zh-CN" w:bidi="ar-SA"/>
        </w:rPr>
        <w:t>天津港保税区航空产业支持中心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w w:val="95"/>
          <w:kern w:val="2"/>
          <w:sz w:val="44"/>
          <w:szCs w:val="44"/>
          <w:lang w:val="en-US" w:bidi="ar-SA"/>
        </w:rPr>
        <w:t>2022 年国有资本经营预算支出情况说明</w:t>
      </w:r>
    </w:p>
    <w:p>
      <w:pPr>
        <w:pStyle w:val="2"/>
        <w:rPr>
          <w:sz w:val="52"/>
        </w:rPr>
      </w:pPr>
    </w:p>
    <w:p>
      <w:pPr>
        <w:spacing w:before="0"/>
        <w:ind w:left="511" w:right="0" w:firstLine="0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一、关于国有资本经营预算支出情况表的说明</w:t>
      </w:r>
    </w:p>
    <w:p>
      <w:pPr>
        <w:spacing w:before="130" w:line="312" w:lineRule="auto"/>
        <w:ind w:left="667" w:leftChars="303" w:right="99" w:firstLine="633" w:firstLineChars="198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bidi="ar-SA"/>
        </w:rPr>
        <w:t>2022 年本部门预算中没有使用国有资本经营预算安排的支出。</w:t>
      </w:r>
    </w:p>
    <w:p>
      <w:pPr>
        <w:numPr>
          <w:ilvl w:val="0"/>
          <w:numId w:val="1"/>
        </w:numPr>
        <w:spacing w:before="130" w:line="312" w:lineRule="auto"/>
        <w:ind w:left="511" w:right="99" w:hanging="3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关于空表的说明</w:t>
      </w:r>
    </w:p>
    <w:p>
      <w:pPr>
        <w:numPr>
          <w:numId w:val="0"/>
        </w:numPr>
        <w:spacing w:before="130" w:line="312" w:lineRule="auto"/>
        <w:ind w:left="508" w:leftChars="0" w:right="99" w:rightChars="0" w:firstLine="640" w:firstLineChars="2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bidi="ar-SA"/>
        </w:rPr>
        <w:t>本部门 2022 年国有资本经营预算支出情况表为空表。</w:t>
      </w:r>
    </w:p>
    <w:sectPr>
      <w:pgSz w:w="11910" w:h="16850"/>
      <w:pgMar w:top="1600" w:right="144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C23D80"/>
    <w:multiLevelType w:val="singleLevel"/>
    <w:tmpl w:val="68C23D8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248A64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1"/>
    </w:pPr>
    <w:rPr>
      <w:rFonts w:ascii="黑体" w:hAnsi="黑体" w:eastAsia="黑体" w:cs="黑体"/>
      <w:sz w:val="44"/>
      <w:szCs w:val="44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ScaleCrop>false</ScaleCrop>
  <LinksUpToDate>false</LinksUpToDate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2022-05-30T07:48:00Z</dcterms:created>
  <dc:creator>苑婧婉</dc:creator>
  <cp:lastModifiedBy>天天向上</cp:lastModifiedBy>
  <dcterms:modified xsi:type="dcterms:W3CDTF">2022-05-30T07:54:08Z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Adobe Acrobat Pro 9.0.0</vt:lpwstr>
  </property>
  <property fmtid="{D5CDD505-2E9C-101B-9397-08002B2CF9AE}" pid="4" name="LastSaved">
    <vt:filetime>2022-05-30T00:00:00Z</vt:filetime>
  </property>
  <property fmtid="{D5CDD505-2E9C-101B-9397-08002B2CF9AE}" pid="5" name="KSOProductBuildVer">
    <vt:lpwstr>2052-11.1.0.11744</vt:lpwstr>
  </property>
  <property fmtid="{D5CDD505-2E9C-101B-9397-08002B2CF9AE}" pid="6" name="ICV">
    <vt:lpwstr>51813498766B44A887230D6CFB13D18B</vt:lpwstr>
  </property>
</Properties>
</file>