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天津港保税区人力资源和社会保障局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2022年部门预算编制说明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天津港保税区人力资源和社会保障局主要职责是：贯彻</w:t>
      </w:r>
      <w:r>
        <w:rPr>
          <w:rFonts w:hint="eastAsia" w:ascii="仿宋_GB2312" w:hAnsi="仿宋_GB2312" w:eastAsia="仿宋_GB2312" w:cs="仿宋_GB2312"/>
          <w:color w:val="auto"/>
          <w:sz w:val="32"/>
          <w:szCs w:val="32"/>
          <w:lang w:val="en-US" w:eastAsia="zh-CN"/>
        </w:rPr>
        <w:t>执行人力资源和社会保障的法律、法规、规章和方针政策，拟定人力资源和社会保障事业发展规划及政策；负责人才管理服务工作，负责专业技术人才管理、高层次专业技术人才选拔和培养工作，落实博士后管理制度，完成人才引进任务；负责鼓励引导高端人才区内创业；负责促进就业工作，完善公共就业服务体系，做好就失业预测预警、信息引导、就业援助、高校毕业生就业指导等工作，促进创业带动就业，完成就业工作任务；负责劳动用工和技能人才培训、培养工作，做好实训中心运营工作；负责人力资源市场开发和建设，培育、建立统一规范的人力资源市场并进行指导管理；负责协调社会保险相关事务，做好工伤预防、工伤认定、劳动能力鉴定、工龄审定、退休审批等社会保险行政事务工作，联系社险中心、医保中心；负责构建和谐劳动关系工作，健全协调机制，做好劳动保障监察执法、劳动人事争议调解仲裁管理和企业工资、福利政策的宏观管理和指导等工作；负责退役军人事务工作；负责牵头处理企业劳资纠纷引起的信访、维稳等工作；落实本部门全面从严治党主体责任；承接上级对口职能部门安排的相关工作；完成党委、</w:t>
      </w:r>
      <w:r>
        <w:rPr>
          <w:rFonts w:hint="eastAsia" w:ascii="仿宋_GB2312" w:hAnsi="仿宋_GB2312" w:eastAsia="仿宋_GB2312" w:cs="仿宋_GB2312"/>
          <w:sz w:val="32"/>
          <w:szCs w:val="32"/>
          <w:lang w:val="en-US" w:eastAsia="zh-CN"/>
        </w:rPr>
        <w:t>管委会交办的其他各项工作。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天津港保税区人力资源和社会保障局内设5个职能科室；下辖1个预算单位。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三、部门预算草案编制情况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部门收入预算情况说明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部门收入预算8289.07万元，其中，包括一般公共预算拨款收入8244.44万元、上级补助收入2.5万元；上年结转和结余42.13万元。收支增加原因是2022年新增预算部门。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部门支出预算情况说明</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部门支出预算8289.07万元，其中：</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2080101行政运行科目支出876.28万元，主要用于人员经费支出及日常公用经费支出；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2080199其他人力资源和社会保障管理事务科目支出6472.73万元，主要用于人才项目经费等支出；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2080112劳动人事争议调解仲裁</w:t>
      </w:r>
      <w:r>
        <w:rPr>
          <w:rFonts w:hint="eastAsia" w:ascii="仿宋_GB2312" w:hAnsi="仿宋_GB2312" w:eastAsia="仿宋_GB2312" w:cs="仿宋_GB2312"/>
          <w:b w:val="0"/>
          <w:bCs w:val="0"/>
          <w:sz w:val="32"/>
          <w:szCs w:val="32"/>
          <w:lang w:val="en-US" w:eastAsia="zh-CN"/>
        </w:rPr>
        <w:t>科目支出408.2万元，主要用于兼职仲裁员办案劳务费、劳动争议调解服务外包、劳动仲裁办案辅助人员外包、争议仲裁系统改造费、争议仲裁办案系统升级与维护费等支出；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2082899 其他退役军人事务管理</w:t>
      </w:r>
      <w:r>
        <w:rPr>
          <w:rFonts w:hint="eastAsia" w:ascii="仿宋_GB2312" w:hAnsi="仿宋_GB2312" w:eastAsia="仿宋_GB2312" w:cs="仿宋_GB2312"/>
          <w:b w:val="0"/>
          <w:bCs w:val="0"/>
          <w:sz w:val="32"/>
          <w:szCs w:val="32"/>
          <w:lang w:val="en-US" w:eastAsia="zh-CN"/>
        </w:rPr>
        <w:t>科目</w:t>
      </w:r>
      <w:r>
        <w:rPr>
          <w:rFonts w:hint="default" w:ascii="仿宋_GB2312" w:hAnsi="仿宋_GB2312" w:eastAsia="仿宋_GB2312" w:cs="仿宋_GB2312"/>
          <w:b w:val="0"/>
          <w:bCs w:val="0"/>
          <w:sz w:val="32"/>
          <w:szCs w:val="32"/>
          <w:lang w:val="en-US" w:eastAsia="zh-CN"/>
        </w:rPr>
        <w:t>支出</w:t>
      </w:r>
      <w:r>
        <w:rPr>
          <w:rFonts w:hint="eastAsia" w:ascii="仿宋_GB2312" w:hAnsi="仿宋_GB2312" w:eastAsia="仿宋_GB2312" w:cs="仿宋_GB2312"/>
          <w:b w:val="0"/>
          <w:bCs w:val="0"/>
          <w:sz w:val="32"/>
          <w:szCs w:val="32"/>
          <w:lang w:val="en-US" w:eastAsia="zh-CN"/>
        </w:rPr>
        <w:t>125.3万元，主要用于下岗失业退役士兵推荐公益岗位经费及关爱退役军人协会专项经费等支出；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2019999其他一般公共服务</w:t>
      </w:r>
      <w:r>
        <w:rPr>
          <w:rFonts w:hint="eastAsia" w:ascii="仿宋_GB2312" w:hAnsi="仿宋_GB2312" w:eastAsia="仿宋_GB2312" w:cs="仿宋_GB2312"/>
          <w:b w:val="0"/>
          <w:bCs w:val="0"/>
          <w:sz w:val="32"/>
          <w:szCs w:val="32"/>
          <w:lang w:val="en-US" w:eastAsia="zh-CN"/>
        </w:rPr>
        <w:t>科目</w:t>
      </w:r>
      <w:r>
        <w:rPr>
          <w:rFonts w:hint="default" w:ascii="仿宋_GB2312" w:hAnsi="仿宋_GB2312" w:eastAsia="仿宋_GB2312" w:cs="仿宋_GB2312"/>
          <w:b w:val="0"/>
          <w:bCs w:val="0"/>
          <w:sz w:val="32"/>
          <w:szCs w:val="32"/>
          <w:lang w:val="en-US" w:eastAsia="zh-CN"/>
        </w:rPr>
        <w:t>支出</w:t>
      </w:r>
      <w:r>
        <w:rPr>
          <w:rFonts w:hint="eastAsia" w:ascii="仿宋_GB2312" w:hAnsi="仿宋_GB2312" w:eastAsia="仿宋_GB2312" w:cs="仿宋_GB2312"/>
          <w:b w:val="0"/>
          <w:bCs w:val="0"/>
          <w:sz w:val="32"/>
          <w:szCs w:val="32"/>
          <w:lang w:val="en-US" w:eastAsia="zh-CN"/>
        </w:rPr>
        <w:t>115万元，主要用于退役军人服务外包经费支出；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2080108 信息化建设</w:t>
      </w:r>
      <w:r>
        <w:rPr>
          <w:rFonts w:hint="eastAsia" w:ascii="仿宋_GB2312" w:hAnsi="仿宋_GB2312" w:eastAsia="仿宋_GB2312" w:cs="仿宋_GB2312"/>
          <w:b w:val="0"/>
          <w:bCs w:val="0"/>
          <w:sz w:val="32"/>
          <w:szCs w:val="32"/>
          <w:lang w:val="en-US" w:eastAsia="zh-CN"/>
        </w:rPr>
        <w:t>科目支出100.86万元，主要用于采购金保二期专网所需网络设备及人社档案信息化建设费支出；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2080106 就业管理事务</w:t>
      </w:r>
      <w:r>
        <w:rPr>
          <w:rFonts w:hint="eastAsia" w:ascii="仿宋_GB2312" w:hAnsi="仿宋_GB2312" w:eastAsia="仿宋_GB2312" w:cs="仿宋_GB2312"/>
          <w:b w:val="0"/>
          <w:bCs w:val="0"/>
          <w:sz w:val="32"/>
          <w:szCs w:val="32"/>
          <w:lang w:val="en-US" w:eastAsia="zh-CN"/>
        </w:rPr>
        <w:t>科目支出84万元，主要用于薪酬调查费用、全年举办招聘活动、人力资源市场运营费用支出；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2299999 其他</w:t>
      </w:r>
      <w:r>
        <w:rPr>
          <w:rFonts w:hint="eastAsia" w:ascii="仿宋_GB2312" w:hAnsi="仿宋_GB2312" w:eastAsia="仿宋_GB2312" w:cs="仿宋_GB2312"/>
          <w:b w:val="0"/>
          <w:bCs w:val="0"/>
          <w:sz w:val="32"/>
          <w:szCs w:val="32"/>
          <w:lang w:val="en-US" w:eastAsia="zh-CN"/>
        </w:rPr>
        <w:t>科目</w:t>
      </w:r>
      <w:r>
        <w:rPr>
          <w:rFonts w:hint="default" w:ascii="仿宋_GB2312" w:hAnsi="仿宋_GB2312" w:eastAsia="仿宋_GB2312" w:cs="仿宋_GB2312"/>
          <w:b w:val="0"/>
          <w:bCs w:val="0"/>
          <w:sz w:val="32"/>
          <w:szCs w:val="32"/>
          <w:lang w:val="en-US" w:eastAsia="zh-CN"/>
        </w:rPr>
        <w:t>支出</w:t>
      </w:r>
      <w:r>
        <w:rPr>
          <w:rFonts w:hint="eastAsia" w:ascii="仿宋_GB2312" w:hAnsi="仿宋_GB2312" w:eastAsia="仿宋_GB2312" w:cs="仿宋_GB2312"/>
          <w:b w:val="0"/>
          <w:bCs w:val="0"/>
          <w:sz w:val="32"/>
          <w:szCs w:val="32"/>
          <w:lang w:val="en-US" w:eastAsia="zh-CN"/>
        </w:rPr>
        <w:t>60万元，主要用于东西部扶贫劳务协作费用支出；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2080899 其他优抚</w:t>
      </w:r>
      <w:r>
        <w:rPr>
          <w:rFonts w:hint="eastAsia" w:ascii="仿宋_GB2312" w:hAnsi="仿宋_GB2312" w:eastAsia="仿宋_GB2312" w:cs="仿宋_GB2312"/>
          <w:b w:val="0"/>
          <w:bCs w:val="0"/>
          <w:sz w:val="32"/>
          <w:szCs w:val="32"/>
          <w:lang w:val="en-US" w:eastAsia="zh-CN"/>
        </w:rPr>
        <w:t>科目支出24万元，主要用于退役军人慰问金、各项退役军人安置和优抚费用支出；</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2150805 中小企业发展专项</w:t>
      </w:r>
      <w:r>
        <w:rPr>
          <w:rFonts w:hint="eastAsia" w:ascii="仿宋_GB2312" w:hAnsi="仿宋_GB2312" w:eastAsia="仿宋_GB2312" w:cs="仿宋_GB2312"/>
          <w:b w:val="0"/>
          <w:bCs w:val="0"/>
          <w:sz w:val="32"/>
          <w:szCs w:val="32"/>
          <w:lang w:val="en-US" w:eastAsia="zh-CN"/>
        </w:rPr>
        <w:t>科目支出20.2万元，主要用于控疫情稳定职工队伍企业补贴支出；</w:t>
      </w:r>
      <w:bookmarkStart w:id="0" w:name="_GoBack"/>
      <w:bookmarkEnd w:id="0"/>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2080107社会保险业务管理事务</w:t>
      </w:r>
      <w:r>
        <w:rPr>
          <w:rFonts w:hint="eastAsia" w:ascii="仿宋_GB2312" w:hAnsi="仿宋_GB2312" w:eastAsia="仿宋_GB2312" w:cs="仿宋_GB2312"/>
          <w:b w:val="0"/>
          <w:bCs w:val="0"/>
          <w:sz w:val="32"/>
          <w:szCs w:val="32"/>
          <w:lang w:val="en-US" w:eastAsia="zh-CN"/>
        </w:rPr>
        <w:t>科目支出2.5万元，主要用于工伤文书邮寄费支出。</w:t>
      </w:r>
    </w:p>
    <w:p>
      <w:pPr>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收支增加原因是2022年新增预算部门。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（一）机关运行经费</w:t>
      </w:r>
    </w:p>
    <w:p>
      <w:pPr>
        <w:spacing w:line="60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部门2022年安排机关运行经费预算47.58万元，其中：公务出行费12万元、工会经费10.58万元、差旅咨询费8万元、退役军人协会退休返聘人员及交通费6.7万元、市内交通费5万元、办公书报费4.8万元、学习培训费0.5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本部门20</w:t>
      </w:r>
      <w:r>
        <w:rPr>
          <w:rFonts w:hint="default"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lang w:val="en-US" w:eastAsia="zh-CN"/>
        </w:rPr>
        <w:t>年安排政府采购预算77.5万元，其中：政府采购货物支出12.5万元、政府采购服务支出65万元。主要项目是:争议仲裁系统改造费、退役军人服务外包经费。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本部门共有车辆0辆。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绩效目标设置情况</w:t>
      </w:r>
    </w:p>
    <w:p>
      <w:pPr>
        <w:spacing w:line="580" w:lineRule="exact"/>
        <w:ind w:firstLine="640" w:firstLineChars="200"/>
        <w:jc w:val="both"/>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2022年，本部门实行绩效目标管理的项目38个，涉及预算金额7368.16万元。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（五）专业性词解释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1.部门预算。是指主管预算部门依据相关法律、法规和政策规定及其行使职能需要，组织所属预算单位编制并逐级上报、审核、汇总，经财政部门审核后按程序依法批准的部门综合收支计划。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（六）关于空表的说明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1.本部门2022年财政拨款政府性基金预算支出预算表为空表。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2.本部门2022年财政拨款一般公共预算“三公”经费支出预算表为空表。</w:t>
      </w:r>
    </w:p>
    <w:sectPr>
      <w:pgSz w:w="11906" w:h="16838"/>
      <w:pgMar w:top="2098" w:right="1803" w:bottom="1757"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1B924"/>
    <w:multiLevelType w:val="singleLevel"/>
    <w:tmpl w:val="3411B924"/>
    <w:lvl w:ilvl="0" w:tentative="0">
      <w:start w:val="1"/>
      <w:numFmt w:val="chineseCounting"/>
      <w:suff w:val="nothing"/>
      <w:lvlText w:val="（%1）"/>
      <w:lvlJc w:val="left"/>
      <w:rPr>
        <w:rFonts w:hint="eastAsia"/>
      </w:rPr>
    </w:lvl>
  </w:abstractNum>
  <w:abstractNum w:abstractNumId="1">
    <w:nsid w:val="3A206B4D"/>
    <w:multiLevelType w:val="singleLevel"/>
    <w:tmpl w:val="3A206B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zUwYWM5Mzg0OGY0MjIyYzE1OWIwOTE5OWY5YzcifQ=="/>
  </w:docVars>
  <w:rsids>
    <w:rsidRoot w:val="00000000"/>
    <w:rsid w:val="00510B10"/>
    <w:rsid w:val="00AB3452"/>
    <w:rsid w:val="018D256C"/>
    <w:rsid w:val="026779BA"/>
    <w:rsid w:val="02B52978"/>
    <w:rsid w:val="037759DB"/>
    <w:rsid w:val="03D8611F"/>
    <w:rsid w:val="04D23811"/>
    <w:rsid w:val="07311DEC"/>
    <w:rsid w:val="07450ADA"/>
    <w:rsid w:val="07FB4E1B"/>
    <w:rsid w:val="09E17F5A"/>
    <w:rsid w:val="0B0E781A"/>
    <w:rsid w:val="0B793722"/>
    <w:rsid w:val="0BFA474A"/>
    <w:rsid w:val="0C4207F0"/>
    <w:rsid w:val="0D755681"/>
    <w:rsid w:val="0D9240DB"/>
    <w:rsid w:val="0E5E1E31"/>
    <w:rsid w:val="10C45410"/>
    <w:rsid w:val="12FE6C66"/>
    <w:rsid w:val="152F7F10"/>
    <w:rsid w:val="15D80A00"/>
    <w:rsid w:val="16FD209E"/>
    <w:rsid w:val="171F21BA"/>
    <w:rsid w:val="17C17781"/>
    <w:rsid w:val="17D17F95"/>
    <w:rsid w:val="18153CE9"/>
    <w:rsid w:val="1BB21094"/>
    <w:rsid w:val="1C0634A1"/>
    <w:rsid w:val="1C3849DA"/>
    <w:rsid w:val="1C4534AF"/>
    <w:rsid w:val="1CB15FAA"/>
    <w:rsid w:val="1D570900"/>
    <w:rsid w:val="1DFD725C"/>
    <w:rsid w:val="1E4D16C6"/>
    <w:rsid w:val="1E560BB7"/>
    <w:rsid w:val="2198541E"/>
    <w:rsid w:val="22D12F02"/>
    <w:rsid w:val="232218F9"/>
    <w:rsid w:val="29D472E5"/>
    <w:rsid w:val="2CA17437"/>
    <w:rsid w:val="30980D0B"/>
    <w:rsid w:val="310570DC"/>
    <w:rsid w:val="312B4CBC"/>
    <w:rsid w:val="32D239AA"/>
    <w:rsid w:val="336B6278"/>
    <w:rsid w:val="350F0945"/>
    <w:rsid w:val="35346404"/>
    <w:rsid w:val="38A10829"/>
    <w:rsid w:val="38A94E31"/>
    <w:rsid w:val="38BB6C54"/>
    <w:rsid w:val="39883BBB"/>
    <w:rsid w:val="3AD62A0C"/>
    <w:rsid w:val="3E3044EA"/>
    <w:rsid w:val="3F5B3E15"/>
    <w:rsid w:val="41391F08"/>
    <w:rsid w:val="41B24E1F"/>
    <w:rsid w:val="41BA3087"/>
    <w:rsid w:val="41DD6D76"/>
    <w:rsid w:val="4395795B"/>
    <w:rsid w:val="43992A22"/>
    <w:rsid w:val="44173C50"/>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07356B"/>
    <w:rsid w:val="5D15186D"/>
    <w:rsid w:val="5D325F03"/>
    <w:rsid w:val="5E7F3B8A"/>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2083798"/>
    <w:rsid w:val="73B1252A"/>
    <w:rsid w:val="745F0A94"/>
    <w:rsid w:val="74637F1A"/>
    <w:rsid w:val="74856C75"/>
    <w:rsid w:val="761E0CF4"/>
    <w:rsid w:val="7809295B"/>
    <w:rsid w:val="78B418D7"/>
    <w:rsid w:val="78EF46BD"/>
    <w:rsid w:val="79E02C2E"/>
    <w:rsid w:val="7B9309F9"/>
    <w:rsid w:val="7DC06DAA"/>
    <w:rsid w:val="7F155D09"/>
    <w:rsid w:val="7F51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1579</Words>
  <Characters>1749</Characters>
  <Lines>0</Lines>
  <Paragraphs>0</Paragraphs>
  <TotalTime>3</TotalTime>
  <ScaleCrop>false</ScaleCrop>
  <LinksUpToDate>false</LinksUpToDate>
  <CharactersWithSpaces>1756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双人余</cp:lastModifiedBy>
  <cp:lastPrinted>2022-04-25T06:41:00Z</cp:lastPrinted>
  <dcterms:modified xsi:type="dcterms:W3CDTF">2023-09-22T08:09:25Z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D85E5E896A9541BFBDA0824105BBD394</vt:lpwstr>
  </property>
</Properties>
</file>