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before="0" w:line="520" w:lineRule="exact"/>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方正小标宋简体" w:hAnsi="宋体" w:eastAsia="方正小标宋简体"/>
          <w:sz w:val="44"/>
          <w:szCs w:val="44"/>
        </w:rPr>
      </w:pPr>
      <w:bookmarkStart w:id="3" w:name="_GoBack"/>
      <w:r>
        <w:rPr>
          <w:rFonts w:hint="eastAsia" w:ascii="方正小标宋简体" w:hAnsi="宋体" w:eastAsia="方正小标宋简体"/>
          <w:sz w:val="44"/>
          <w:szCs w:val="44"/>
        </w:rPr>
        <w:t>填报说明和指标解释</w:t>
      </w:r>
    </w:p>
    <w:bookmarkEnd w:id="3"/>
    <w:p>
      <w:pPr>
        <w:pStyle w:val="17"/>
        <w:keepNext w:val="0"/>
        <w:keepLines w:val="0"/>
        <w:pageBreakBefore w:val="0"/>
        <w:widowControl/>
        <w:kinsoku/>
        <w:wordWrap/>
        <w:overflowPunct/>
        <w:topLinePunct w:val="0"/>
        <w:autoSpaceDE w:val="0"/>
        <w:autoSpaceDN w:val="0"/>
        <w:bidi w:val="0"/>
        <w:adjustRightInd/>
        <w:snapToGrid/>
        <w:spacing w:before="100" w:line="520" w:lineRule="exact"/>
        <w:textAlignment w:val="auto"/>
        <w:outlineLvl w:val="9"/>
        <w:rPr>
          <w:rFonts w:hint="eastAsia" w:ascii="楷体_GB2312" w:hAnsi="楷体_GB2312" w:eastAsia="楷体_GB2312" w:cs="楷体_GB2312"/>
          <w:color w:val="000000"/>
          <w:kern w:val="0"/>
          <w:sz w:val="32"/>
          <w:szCs w:val="32"/>
          <w:lang w:val="en-US" w:eastAsia="zh-CN" w:bidi="ar-SA"/>
        </w:rPr>
      </w:pPr>
      <w:r>
        <w:rPr>
          <w:rFonts w:hint="eastAsia" w:ascii="楷体_GB2312" w:hAnsi="楷体_GB2312" w:eastAsia="楷体_GB2312" w:cs="楷体_GB2312"/>
          <w:color w:val="000000"/>
          <w:kern w:val="0"/>
          <w:sz w:val="32"/>
          <w:szCs w:val="32"/>
          <w:lang w:val="en-US" w:eastAsia="zh-CN" w:bidi="ar-SA"/>
        </w:rPr>
        <w:t>（一）填报说明</w:t>
      </w:r>
    </w:p>
    <w:p>
      <w:pPr>
        <w:pStyle w:val="17"/>
        <w:keepNext w:val="0"/>
        <w:keepLines w:val="0"/>
        <w:pageBreakBefore w:val="0"/>
        <w:kinsoku/>
        <w:wordWrap/>
        <w:overflowPunct/>
        <w:topLinePunct w:val="0"/>
        <w:bidi w:val="0"/>
        <w:adjustRightInd/>
        <w:snapToGrid/>
        <w:spacing w:line="520" w:lineRule="exact"/>
        <w:textAlignment w:val="auto"/>
        <w:rPr>
          <w:rFonts w:hint="eastAsia" w:ascii="Times New Roman" w:hAnsi="Times New Roman" w:eastAsia="仿宋_GB2312" w:cs="Times New Roman"/>
          <w:color w:val="000000"/>
          <w:kern w:val="0"/>
          <w:sz w:val="32"/>
          <w:szCs w:val="32"/>
          <w:lang w:val="en-US" w:eastAsia="zh-CN" w:bidi="ar-SA"/>
        </w:rPr>
      </w:pPr>
      <w:r>
        <w:rPr>
          <w:rFonts w:hint="default" w:ascii="Times New Roman" w:hAnsi="Times New Roman" w:eastAsia="仿宋_GB2312" w:cs="Times New Roman"/>
          <w:color w:val="000000"/>
          <w:kern w:val="0"/>
          <w:sz w:val="32"/>
          <w:szCs w:val="32"/>
          <w:lang w:val="en-US" w:eastAsia="zh-CN" w:bidi="ar-SA"/>
        </w:rPr>
        <w:t>1.</w:t>
      </w:r>
      <w:r>
        <w:rPr>
          <w:rFonts w:hint="eastAsia" w:ascii="Times New Roman" w:eastAsia="仿宋_GB2312" w:cs="Times New Roman"/>
          <w:color w:val="000000"/>
          <w:kern w:val="0"/>
          <w:sz w:val="32"/>
          <w:szCs w:val="32"/>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纳统行业代码：对照《国民经济行业分类与代码</w:t>
      </w:r>
      <w:r>
        <w:rPr>
          <w:rFonts w:hint="eastAsia" w:ascii="Times New Roman" w:hAnsi="Times New Roman" w:eastAsia="仿宋_GB2312" w:cs="Times New Roman"/>
          <w:color w:val="000000"/>
          <w:kern w:val="0"/>
          <w:sz w:val="32"/>
          <w:szCs w:val="32"/>
          <w:lang w:val="en-US" w:eastAsia="zh-CN" w:bidi="ar-SA"/>
        </w:rPr>
        <w:fldChar w:fldCharType="begin"/>
      </w:r>
      <w:r>
        <w:rPr>
          <w:rFonts w:hint="eastAsia" w:ascii="Times New Roman" w:hAnsi="Times New Roman" w:eastAsia="仿宋_GB2312" w:cs="Times New Roman"/>
          <w:color w:val="000000"/>
          <w:kern w:val="0"/>
          <w:sz w:val="32"/>
          <w:szCs w:val="32"/>
          <w:lang w:val="en-US" w:eastAsia="zh-CN" w:bidi="ar-SA"/>
        </w:rPr>
        <w:instrText xml:space="preserve"> HYPERLINK "https://www.baidu.com/link?url=DTI3yBYDWR6CSZYIIUiQodxvTY-ycuE3mjLb0hWfXZgDM6R0WwT3CLWPunuFkA1Cx8agIt0pwix9myjESPO8IK&amp;wd=&amp;eqid=b42e6cfc00001452000000025a6fd6ae" \t "_blank" </w:instrText>
      </w:r>
      <w:r>
        <w:rPr>
          <w:rFonts w:hint="eastAsia" w:ascii="Times New Roman" w:hAnsi="Times New Roman" w:eastAsia="仿宋_GB2312" w:cs="Times New Roman"/>
          <w:color w:val="000000"/>
          <w:kern w:val="0"/>
          <w:sz w:val="32"/>
          <w:szCs w:val="32"/>
          <w:lang w:val="en-US" w:eastAsia="zh-CN" w:bidi="ar-SA"/>
        </w:rPr>
        <w:fldChar w:fldCharType="separate"/>
      </w:r>
      <w:r>
        <w:rPr>
          <w:rFonts w:hint="eastAsia" w:ascii="Times New Roman" w:hAnsi="Times New Roman" w:eastAsia="仿宋_GB2312" w:cs="Times New Roman"/>
          <w:color w:val="000000"/>
          <w:kern w:val="0"/>
          <w:sz w:val="32"/>
          <w:szCs w:val="32"/>
          <w:lang w:val="en-US" w:eastAsia="zh-CN" w:bidi="ar-SA"/>
        </w:rPr>
        <w:t>(GB/T 4754—2017)</w:t>
      </w:r>
      <w:r>
        <w:rPr>
          <w:rFonts w:hint="eastAsia" w:ascii="Times New Roman" w:hAnsi="Times New Roman" w:eastAsia="仿宋_GB2312" w:cs="Times New Roman"/>
          <w:color w:val="000000"/>
          <w:kern w:val="0"/>
          <w:sz w:val="32"/>
          <w:szCs w:val="32"/>
          <w:lang w:val="en-US" w:eastAsia="zh-CN" w:bidi="ar-SA"/>
        </w:rPr>
        <w:fldChar w:fldCharType="end"/>
      </w:r>
      <w:r>
        <w:rPr>
          <w:rFonts w:hint="eastAsia" w:ascii="Times New Roman" w:hAnsi="Times New Roman" w:eastAsia="仿宋_GB2312" w:cs="Times New Roman"/>
          <w:color w:val="000000"/>
          <w:kern w:val="0"/>
          <w:sz w:val="32"/>
          <w:szCs w:val="32"/>
          <w:lang w:val="en-US" w:eastAsia="zh-CN" w:bidi="ar-SA"/>
        </w:rPr>
        <w:t>》，填写企业主营业务对应的统计“小类”（四位码）编号。</w:t>
      </w:r>
    </w:p>
    <w:p>
      <w:pPr>
        <w:pStyle w:val="17"/>
        <w:keepNext w:val="0"/>
        <w:keepLines w:val="0"/>
        <w:pageBreakBefore w:val="0"/>
        <w:kinsoku/>
        <w:wordWrap/>
        <w:overflowPunct/>
        <w:topLinePunct w:val="0"/>
        <w:bidi w:val="0"/>
        <w:adjustRightInd/>
        <w:snapToGrid/>
        <w:spacing w:line="520" w:lineRule="exact"/>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2.</w:t>
      </w:r>
      <w:r>
        <w:rPr>
          <w:rFonts w:hint="eastAsia" w:ascii="Times New Roman" w:eastAsia="仿宋_GB2312" w:cs="Times New Roman"/>
          <w:color w:val="000000"/>
          <w:kern w:val="0"/>
          <w:sz w:val="32"/>
          <w:szCs w:val="32"/>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报告年度：指表中指标统计年度，时间范围从填写评价表的上一年1月1日至12月31日；所有指标的填报时间范围，如无特殊说明，均为报告年度。</w:t>
      </w:r>
    </w:p>
    <w:p>
      <w:pPr>
        <w:pStyle w:val="17"/>
        <w:keepNext w:val="0"/>
        <w:keepLines w:val="0"/>
        <w:pageBreakBefore w:val="0"/>
        <w:kinsoku/>
        <w:wordWrap/>
        <w:overflowPunct/>
        <w:topLinePunct w:val="0"/>
        <w:bidi w:val="0"/>
        <w:adjustRightInd/>
        <w:snapToGrid/>
        <w:spacing w:line="520" w:lineRule="exact"/>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eastAsia="仿宋_GB2312" w:cs="Times New Roman"/>
          <w:color w:val="000000"/>
          <w:kern w:val="0"/>
          <w:sz w:val="32"/>
          <w:szCs w:val="32"/>
          <w:lang w:val="en-US" w:eastAsia="zh-CN" w:bidi="ar-SA"/>
        </w:rPr>
        <w:t xml:space="preserve">3. </w:t>
      </w:r>
      <w:r>
        <w:rPr>
          <w:rFonts w:hint="eastAsia" w:ascii="Times New Roman" w:hAnsi="Times New Roman" w:eastAsia="仿宋_GB2312" w:cs="Times New Roman"/>
          <w:color w:val="000000"/>
          <w:kern w:val="0"/>
          <w:sz w:val="32"/>
          <w:szCs w:val="32"/>
          <w:lang w:val="en-US" w:eastAsia="zh-CN" w:bidi="ar-SA"/>
        </w:rPr>
        <w:t>大型企业集团应将与企业主营业务相关下属企业（包括分公司、子公司和控股公司）的107-1表、107-2表、资产负债表、</w:t>
      </w:r>
      <w:r>
        <w:rPr>
          <w:rFonts w:hint="eastAsia" w:ascii="Times New Roman" w:eastAsia="仿宋_GB2312" w:cs="Times New Roman"/>
          <w:color w:val="000000"/>
          <w:kern w:val="0"/>
          <w:sz w:val="32"/>
          <w:szCs w:val="32"/>
          <w:lang w:val="en-US" w:eastAsia="zh-CN" w:bidi="ar-SA"/>
        </w:rPr>
        <w:t>利润</w:t>
      </w:r>
      <w:r>
        <w:rPr>
          <w:rFonts w:hint="eastAsia" w:ascii="Times New Roman" w:hAnsi="Times New Roman" w:eastAsia="仿宋_GB2312" w:cs="Times New Roman"/>
          <w:color w:val="000000"/>
          <w:kern w:val="0"/>
          <w:sz w:val="32"/>
          <w:szCs w:val="32"/>
          <w:lang w:val="en-US" w:eastAsia="zh-CN" w:bidi="ar-SA"/>
        </w:rPr>
        <w:t>表、现金流量表等进行合并填报，下属企业为市级企业技术中心的</w:t>
      </w:r>
      <w:r>
        <w:rPr>
          <w:rFonts w:hint="eastAsia" w:ascii="Times New Roman" w:eastAsia="仿宋_GB2312" w:cs="Times New Roman"/>
          <w:color w:val="000000"/>
          <w:kern w:val="0"/>
          <w:sz w:val="32"/>
          <w:szCs w:val="32"/>
          <w:lang w:val="en-US" w:eastAsia="zh-CN" w:bidi="ar-SA"/>
        </w:rPr>
        <w:t>单独填报，</w:t>
      </w:r>
      <w:r>
        <w:rPr>
          <w:rFonts w:hint="eastAsia" w:ascii="Times New Roman" w:hAnsi="Times New Roman" w:eastAsia="仿宋_GB2312" w:cs="Times New Roman"/>
          <w:color w:val="000000"/>
          <w:kern w:val="0"/>
          <w:sz w:val="32"/>
          <w:szCs w:val="32"/>
          <w:lang w:val="en-US" w:eastAsia="zh-CN" w:bidi="ar-SA"/>
        </w:rPr>
        <w:t>不进行合并。</w:t>
      </w:r>
    </w:p>
    <w:p>
      <w:pPr>
        <w:pStyle w:val="17"/>
        <w:keepNext w:val="0"/>
        <w:keepLines w:val="0"/>
        <w:pageBreakBefore w:val="0"/>
        <w:kinsoku/>
        <w:wordWrap/>
        <w:overflowPunct/>
        <w:topLinePunct w:val="0"/>
        <w:bidi w:val="0"/>
        <w:adjustRightInd/>
        <w:snapToGrid/>
        <w:spacing w:line="520" w:lineRule="exact"/>
        <w:textAlignment w:val="auto"/>
        <w:rPr>
          <w:rFonts w:hint="eastAsia" w:ascii="楷体_GB2312" w:hAnsi="楷体_GB2312" w:eastAsia="楷体_GB2312" w:cs="楷体_GB2312"/>
          <w:color w:val="000000"/>
          <w:kern w:val="0"/>
          <w:sz w:val="32"/>
          <w:szCs w:val="32"/>
          <w:lang w:val="en-US" w:eastAsia="zh-CN" w:bidi="ar-SA"/>
        </w:rPr>
      </w:pPr>
      <w:r>
        <w:rPr>
          <w:rFonts w:hint="eastAsia" w:ascii="楷体_GB2312" w:hAnsi="楷体_GB2312" w:eastAsia="楷体_GB2312" w:cs="楷体_GB2312"/>
          <w:color w:val="000000"/>
          <w:kern w:val="0"/>
          <w:sz w:val="32"/>
          <w:szCs w:val="32"/>
          <w:lang w:val="en-US" w:eastAsia="zh-CN" w:bidi="ar-SA"/>
        </w:rPr>
        <w:t>（二）指标解释</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lang w:val="en-US" w:eastAsia="zh-CN"/>
        </w:rPr>
      </w:pPr>
      <w:r>
        <w:rPr>
          <w:rFonts w:hint="default" w:ascii="Times New Roman" w:hAnsi="Times New Roman" w:eastAsia="仿宋_GB2312" w:cs="Times New Roman"/>
          <w:sz w:val="32"/>
          <w:szCs w:val="32"/>
        </w:rPr>
        <w:t>1．</w:t>
      </w:r>
      <w:r>
        <w:rPr>
          <w:rFonts w:hint="eastAsia" w:ascii="仿宋_GB2312" w:hAnsi="Times New Roman" w:eastAsia="仿宋_GB2312" w:cs="宋体"/>
          <w:sz w:val="32"/>
          <w:szCs w:val="32"/>
          <w:lang w:val="en-US" w:eastAsia="zh-CN"/>
        </w:rPr>
        <w:t>营业收入总额</w:t>
      </w:r>
      <w:r>
        <w:rPr>
          <w:rFonts w:hint="eastAsia" w:ascii="仿宋_GB2312" w:hAnsi="Times New Roman" w:eastAsia="仿宋_GB2312" w:cs="宋体"/>
          <w:sz w:val="32"/>
          <w:szCs w:val="32"/>
        </w:rPr>
        <w:t>：</w:t>
      </w:r>
      <w:r>
        <w:rPr>
          <w:rFonts w:hint="eastAsia" w:ascii="仿宋_GB2312" w:hAnsi="Times New Roman" w:eastAsia="仿宋_GB2312" w:cs="宋体"/>
          <w:sz w:val="32"/>
          <w:szCs w:val="32"/>
          <w:lang w:val="en-US" w:eastAsia="zh-CN"/>
        </w:rPr>
        <w:t>指企业从事销售商品、提供劳务和让渡资产使用权等生产经营活动形成的经济利益流入。包括“主营业务收入”和“其他业务收入”。根据会计“利润表”中“营业收入”项目的本年累计数填报。</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利润总额：指报告年度企业生产经营过程中各种收入扣除各种耗费后的盈余，反映企业在报告期内实现的盈亏总额。根据会计“利润表”中“利润总额”项目的本年累计数填报。</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企业从业人员（期末数）：指报告年度最后一日24时在本单位工作，并取得工资或其他形式劳动报酬的人员数。该指标为时点指标，不包括最后一日当天及以前已经与单位解除劳动合同关系的人员，是在岗职工、劳务派遣人员及其他从业人员之和。</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研究开发活动：研究是指为获取并理解新的科学或技术知识而进行的独创性的有计划调查。开发是指在进行商业性生产或使用前，将研究成果或其他知识应用于某项计划或设计，以生产出新的或具有实质性改进的材料、装置、产品等。</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企业拥有研究开发人员数：指报告年度内企业参加研究开发活动的人员合计。该指标应与“企业研究开发活动及相关情况”（107-2表）数据对应。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企业拥有研究开发人员数（全职人员）：指报告年度内企业研究开发人员中实际从事研究开发活动的时间占制度工作时间90%及以上的人员，不含外聘人员。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研发经费支出总额：指报告年度内企业用于研究开发活动的费用合计，包括人员人工费用、直接投入费用、折旧费用与长期待摊费用、无形资产摊销费用、设计费用、装备调试费用与试验费用、委托外部研究开发费用及其他费用。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来自于政府部门研发经费支出总额：指报告年度内企业从政府有关部门获得的研究开发经费合计，包括科技专项费、科研基建费、政府专项基金和补贴等。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技术中心高级专家：指截至报告年度末全职在技术中心工作、获得国家、省、部等政府部门认定的有突出贡献的专家或者享受国家、省、部专项津贴，以及其他类型专家（包括国家千人计划、万人计划，天津市“131”创新型人才培养工程第一层次等），外聘及70周岁以上专家不计入。</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技术中心博士：指截至报告年度末全职在技术中心工作，具有博士学历或博士学位的研究开发人员。在站博士后可以作为博士进行统计。</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lang w:val="en-US" w:eastAsia="zh-CN"/>
        </w:rPr>
      </w:pP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来技术中心从事研发工作的外部专家人数：</w:t>
      </w:r>
      <w:r>
        <w:rPr>
          <w:rFonts w:hint="eastAsia" w:ascii="仿宋_GB2312" w:hAnsi="Times New Roman" w:eastAsia="仿宋_GB2312" w:cs="宋体"/>
          <w:sz w:val="32"/>
          <w:szCs w:val="32"/>
        </w:rPr>
        <w:t>指截至报告年度末来技术中心从事研究、技术开发工作的具有较高科技开发能力的海内外专家累计人月。最小统计单位为：</w:t>
      </w:r>
      <w:r>
        <w:rPr>
          <w:rFonts w:hint="eastAsia" w:ascii="Times New Roman" w:hAnsi="Times New Roman" w:eastAsia="仿宋_GB2312" w:cs="Times New Roman"/>
          <w:sz w:val="32"/>
          <w:szCs w:val="32"/>
          <w:lang w:val="en-US" w:eastAsia="zh-CN"/>
        </w:rPr>
        <w:t>0.5</w:t>
      </w:r>
      <w:r>
        <w:rPr>
          <w:rFonts w:hint="eastAsia" w:ascii="仿宋_GB2312" w:hAnsi="Times New Roman" w:eastAsia="仿宋_GB2312" w:cs="宋体"/>
          <w:sz w:val="32"/>
          <w:szCs w:val="32"/>
        </w:rPr>
        <w:t>人月。</w:t>
      </w:r>
      <w:r>
        <w:rPr>
          <w:rFonts w:hint="eastAsia" w:ascii="仿宋_GB2312" w:hAnsi="Times New Roman" w:eastAsia="仿宋_GB2312" w:cs="宋体"/>
          <w:sz w:val="32"/>
          <w:szCs w:val="32"/>
          <w:lang w:val="en-US" w:eastAsia="zh-CN"/>
        </w:rPr>
        <w:t>全年单人统计最多为</w:t>
      </w:r>
      <w:r>
        <w:rPr>
          <w:rFonts w:hint="eastAsia" w:ascii="Times New Roman" w:hAnsi="Times New Roman" w:eastAsia="仿宋_GB2312" w:cs="Times New Roman"/>
          <w:sz w:val="32"/>
          <w:szCs w:val="32"/>
          <w:lang w:val="en-US" w:eastAsia="zh-CN"/>
        </w:rPr>
        <w:t>9</w:t>
      </w:r>
      <w:r>
        <w:rPr>
          <w:rFonts w:hint="eastAsia" w:ascii="仿宋_GB2312" w:hAnsi="Times New Roman" w:eastAsia="仿宋_GB2312" w:cs="宋体"/>
          <w:sz w:val="32"/>
          <w:szCs w:val="32"/>
          <w:lang w:val="en-US" w:eastAsia="zh-CN"/>
        </w:rPr>
        <w:t>人月。</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企业全部科技项目数：</w:t>
      </w:r>
      <w:r>
        <w:rPr>
          <w:rFonts w:hint="eastAsia" w:ascii="仿宋_GB2312" w:hAnsi="Times New Roman" w:eastAsia="仿宋_GB2312" w:cs="宋体"/>
          <w:sz w:val="32"/>
          <w:szCs w:val="32"/>
        </w:rPr>
        <w:t>指企业在报告年度当年立项并开展研发（制）工作、以前年份立项仍继续进行研发（制）的研究开发项目或课题，包括当年完成和年内研发工作已告失败的项目</w:t>
      </w:r>
      <w:r>
        <w:rPr>
          <w:rFonts w:hint="eastAsia" w:ascii="仿宋_GB2312" w:hAnsi="Times New Roman" w:eastAsia="仿宋_GB2312" w:cs="宋体"/>
          <w:sz w:val="32"/>
          <w:szCs w:val="32"/>
          <w:lang w:eastAsia="zh-CN"/>
        </w:rPr>
        <w:t>。</w:t>
      </w:r>
      <w:r>
        <w:rPr>
          <w:rFonts w:hint="eastAsia" w:ascii="Times New Roman" w:hAnsi="Times New Roman" w:eastAsia="仿宋_GB2312" w:cs="Times New Roman"/>
          <w:sz w:val="32"/>
          <w:szCs w:val="32"/>
          <w:lang w:val="en-US" w:eastAsia="zh-CN"/>
        </w:rPr>
        <w:t>该指标应与“企业研究开发项目情况”（107-1表）数据对应。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对外合作项目数：指企业与境内研究机构、高等院校、其他企业或单位，以及与境外机构合作开发项目数，不包括委托外单位研发项目。</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承担政府部门科技项目数：指企业在报告年度承担的国家发改委、工信部、科技部等国家部委批准立项并开展研发（制）工作，或承担的天津市各类科技计划项目。</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拥有或参与建设的国家、省级研发平台数：指企业作为项目法人承担或参与建设的国家或省级有关部门归口管理且已经获得批复的科技类、研究开发类平台数。只限于工程实验室、工程研究中心、工程技术研究中心、重点实验室、国家地方联合工程实验室、国家地方联合工程研究中心、制造业创新中心、产业创新中心、技术创新中心等9类平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rPr>
      </w:pP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lang w:val="en-US" w:eastAsia="zh-CN"/>
        </w:rPr>
        <w:t>．</w:t>
      </w:r>
      <w:r>
        <w:rPr>
          <w:rFonts w:hint="eastAsia" w:ascii="仿宋_GB2312" w:hAnsi="Times New Roman" w:eastAsia="仿宋_GB2312" w:cs="宋体"/>
          <w:sz w:val="32"/>
          <w:szCs w:val="32"/>
        </w:rPr>
        <w:t>通过国家（国际组织）认证的实验室和检测机构数：指通过中华人民共和国有关国家部门、国际组织企业认证认可的、仍在有效期内的实验室、检验检测机构数。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lang w:val="en-US" w:eastAsia="zh-CN"/>
        </w:rPr>
        <w:t>．</w:t>
      </w:r>
      <w:r>
        <w:rPr>
          <w:rFonts w:hint="eastAsia" w:ascii="仿宋_GB2312" w:hAnsi="Times New Roman" w:eastAsia="仿宋_GB2312" w:cs="宋体"/>
          <w:sz w:val="32"/>
          <w:szCs w:val="32"/>
          <w:lang w:val="en-US" w:eastAsia="zh-CN"/>
        </w:rPr>
        <w:t>技术中心拥有的研发仪器设备原值：</w:t>
      </w:r>
      <w:bookmarkStart w:id="0" w:name="OLE_LINK18"/>
      <w:bookmarkStart w:id="1" w:name="OLE_LINK17"/>
      <w:r>
        <w:rPr>
          <w:rFonts w:hint="eastAsia" w:ascii="仿宋_GB2312" w:hAnsi="Times New Roman" w:eastAsia="仿宋_GB2312" w:cs="宋体"/>
          <w:sz w:val="32"/>
          <w:szCs w:val="32"/>
        </w:rPr>
        <w:t>指报告年度末</w:t>
      </w:r>
      <w:bookmarkEnd w:id="0"/>
      <w:bookmarkEnd w:id="1"/>
      <w:r>
        <w:rPr>
          <w:rFonts w:hint="eastAsia" w:ascii="仿宋_GB2312" w:hAnsi="Times New Roman" w:eastAsia="仿宋_GB2312" w:cs="宋体"/>
          <w:sz w:val="32"/>
          <w:szCs w:val="32"/>
          <w:lang w:val="en-US" w:eastAsia="zh-CN"/>
        </w:rPr>
        <w:t>由技术中心使用并</w:t>
      </w:r>
      <w:r>
        <w:rPr>
          <w:rFonts w:hint="eastAsia" w:ascii="仿宋_GB2312" w:hAnsi="Times New Roman" w:eastAsia="仿宋_GB2312" w:cs="宋体"/>
          <w:sz w:val="32"/>
          <w:szCs w:val="32"/>
        </w:rPr>
        <w:t>用于研发的固定资产中的仪器和设备原价。其中，设备包括用于研发活动的各类机器和设备、试验测量仪器、运输工具、工装工具等。</w:t>
      </w:r>
      <w:r>
        <w:rPr>
          <w:rFonts w:hint="eastAsia" w:ascii="Times New Roman" w:hAnsi="Times New Roman" w:eastAsia="仿宋_GB2312" w:cs="Times New Roman"/>
          <w:sz w:val="32"/>
          <w:szCs w:val="32"/>
          <w:lang w:val="en-US" w:eastAsia="zh-CN"/>
        </w:rPr>
        <w:t>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lang w:val="en-US" w:eastAsia="zh-CN"/>
        </w:rPr>
      </w:pPr>
      <w:r>
        <w:rPr>
          <w:rFonts w:hint="eastAsia"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lang w:val="en-US" w:eastAsia="zh-CN"/>
        </w:rPr>
        <w:t>．</w:t>
      </w:r>
      <w:r>
        <w:rPr>
          <w:rFonts w:hint="eastAsia" w:ascii="仿宋_GB2312" w:hAnsi="Times New Roman" w:eastAsia="仿宋_GB2312" w:cs="宋体"/>
          <w:sz w:val="32"/>
          <w:szCs w:val="32"/>
          <w:lang w:val="en-US" w:eastAsia="zh-CN"/>
        </w:rPr>
        <w:t>报告年度被受理的专利申请数：指报告年度内企业向专利行政部门提出专利申请并被受的专利件数。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lang w:val="en-US" w:eastAsia="zh-CN"/>
        </w:rPr>
        <w:t>．PCT</w:t>
      </w:r>
      <w:r>
        <w:rPr>
          <w:rFonts w:hint="eastAsia" w:ascii="Times New Roman" w:hAnsi="Times New Roman" w:eastAsia="仿宋_GB2312" w:cs="Times New Roman"/>
          <w:sz w:val="32"/>
          <w:szCs w:val="32"/>
          <w:lang w:val="en-US" w:eastAsia="zh-CN"/>
        </w:rPr>
        <w:t>专利：是依据《专利合作条约》提交的由</w:t>
      </w: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"https://baike.baidu.com/item/%E4%B8%96%E7%95%8C%E7%9F%A5%E8%AF%86%E4%BA%A7%E6%9D%83%E7%BB%84%E7%BB%87" \t "https://baike.baidu.com/item/PCT%E4%B8%93%E5%88%A9%E7%94%B3%E8%AF%B7/_blank"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世界知识产权组织</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的国际局进行国际公开，并由国际检索单位进行国际检索</w:t>
      </w:r>
      <w:r>
        <w:rPr>
          <w:rFonts w:hint="eastAsia" w:ascii="Times New Roman" w:hAnsi="Times New Roman" w:eastAsia="仿宋_GB2312" w:cs="Times New Roman"/>
          <w:sz w:val="32"/>
          <w:szCs w:val="32"/>
          <w:lang w:val="en-US" w:eastAsia="zh-CN"/>
        </w:rPr>
        <w:t>的专利。</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拥有的有效发明专利数：指</w:t>
      </w:r>
      <w:bookmarkStart w:id="2" w:name="OLE_LINK12"/>
      <w:r>
        <w:rPr>
          <w:rFonts w:hint="eastAsia" w:ascii="Times New Roman" w:hAnsi="Times New Roman" w:eastAsia="仿宋_GB2312" w:cs="Times New Roman"/>
          <w:sz w:val="32"/>
          <w:szCs w:val="32"/>
          <w:lang w:val="en-US" w:eastAsia="zh-CN"/>
        </w:rPr>
        <w:t>报告年度末</w:t>
      </w:r>
      <w:bookmarkEnd w:id="2"/>
      <w:r>
        <w:rPr>
          <w:rFonts w:hint="eastAsia" w:ascii="Times New Roman" w:hAnsi="Times New Roman" w:eastAsia="仿宋_GB2312" w:cs="Times New Roman"/>
          <w:sz w:val="32"/>
          <w:szCs w:val="32"/>
          <w:lang w:val="en-US" w:eastAsia="zh-CN"/>
        </w:rPr>
        <w:t>企业作为专利权人拥有的、经国内外知识产权行政部门授予且在有效期内的发明专利件数。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对外转让或许可的专利数：指报告年度末企业转让或授权许可给其他企业或机构使用的专利件数。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最近三年主持和参加制定的国际、国家和行业标准数：指企业在报告年度、报告年度前一年、报告年度前二年主持或参加制定，目前仍有效执行的国际、国家、行业标准的数量，其中建筑行业包括国家级工法数。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新产品销售收入：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或者作出明显改进的服务实现的营业收入。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新产品销售利润：指报告年度内企业通过销售新产品、提供新服务等实现的销售（营业）利润。</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企业加计扣除减免税额：指报告年度企业按有关政策和税法规定税前加计扣除的研究开发活动费用所得税，按当年税务部门实际减免的税额填报。对尚未得到当年减免税额的企业，按上年实际减免税额填报。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近两年获得天津市质量奖数量：指报告年度及报告年度前一年，企业获得的天津市人民政府颁发的天津市质量奖及天津市质量奖提名奖。</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近两年获得天津市自然科学、技术发明、科技进步奖数量：指报告年度及报告年度前一年，企业获得的天津市人民政府颁发的“自然科学奖”、“技术发明奖”、“科技进步奖”。</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近两年获得中国创新方法大赛奖励数量：指报告年度及报告年度前一年，企业获得的中国科协、科技部组织开展的中国创新方法大赛奖励数量。</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近两年获得国家自然科学、技术发明、科技进步奖数量：指报告年度及报告年度前一年，企业获得的国务院颁发的“自然科学奖”、“技术发明奖”、“科技进步奖”。</w:t>
      </w:r>
    </w:p>
    <w:sectPr>
      <w:footerReference r:id="rId3" w:type="default"/>
      <w:footerReference r:id="rId4" w:type="even"/>
      <w:pgSz w:w="11906" w:h="16838"/>
      <w:pgMar w:top="2098" w:right="1474" w:bottom="1985" w:left="1588" w:header="851" w:footer="1077" w:gutter="0"/>
      <w:pgNumType w:fmt="numberInDash" w:start="1"/>
      <w:cols w:space="425"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1310" w:h="567" w:hRule="exact" w:wrap="around" w:vAnchor="page" w:hAnchor="margin" w:xAlign="outside" w:y="15140"/>
      <w:spacing w:line="280" w:lineRule="exact"/>
      <w:jc w:val="center"/>
      <w:rPr>
        <w:rStyle w:val="13"/>
        <w:rFonts w:ascii="宋体" w:hAnsi="宋体"/>
        <w:sz w:val="28"/>
        <w:szCs w:val="28"/>
      </w:rPr>
    </w:pPr>
    <w:r>
      <w:rPr>
        <w:rStyle w:val="13"/>
        <w:rFonts w:ascii="宋体" w:hAnsi="宋体"/>
        <w:sz w:val="28"/>
        <w:szCs w:val="28"/>
      </w:rPr>
      <w:fldChar w:fldCharType="begin"/>
    </w:r>
    <w:r>
      <w:rPr>
        <w:rStyle w:val="13"/>
        <w:rFonts w:ascii="宋体" w:hAnsi="宋体"/>
        <w:sz w:val="28"/>
        <w:szCs w:val="28"/>
      </w:rPr>
      <w:instrText xml:space="preserve">PAGE  </w:instrText>
    </w:r>
    <w:r>
      <w:rPr>
        <w:rStyle w:val="13"/>
        <w:rFonts w:ascii="宋体" w:hAnsi="宋体"/>
        <w:sz w:val="28"/>
        <w:szCs w:val="28"/>
      </w:rPr>
      <w:fldChar w:fldCharType="separate"/>
    </w:r>
    <w:r>
      <w:rPr>
        <w:rStyle w:val="13"/>
        <w:rFonts w:ascii="宋体" w:hAnsi="宋体"/>
        <w:sz w:val="28"/>
        <w:szCs w:val="28"/>
      </w:rPr>
      <w:t>- 8 -</w:t>
    </w:r>
    <w:r>
      <w:rPr>
        <w:rStyle w:val="13"/>
        <w:rFonts w:ascii="宋体" w:hAnsi="宋体"/>
        <w:sz w:val="28"/>
        <w:szCs w:val="28"/>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81A"/>
    <w:rsid w:val="00002F68"/>
    <w:rsid w:val="000144F3"/>
    <w:rsid w:val="00020C56"/>
    <w:rsid w:val="00023CF7"/>
    <w:rsid w:val="00033DFF"/>
    <w:rsid w:val="00046F69"/>
    <w:rsid w:val="00047EED"/>
    <w:rsid w:val="0006656E"/>
    <w:rsid w:val="00072218"/>
    <w:rsid w:val="00083F8C"/>
    <w:rsid w:val="000A4124"/>
    <w:rsid w:val="000B6B4C"/>
    <w:rsid w:val="000C1F22"/>
    <w:rsid w:val="000C50E1"/>
    <w:rsid w:val="000D2249"/>
    <w:rsid w:val="000D5F7A"/>
    <w:rsid w:val="00100C4E"/>
    <w:rsid w:val="001032D1"/>
    <w:rsid w:val="00107027"/>
    <w:rsid w:val="00163844"/>
    <w:rsid w:val="00166523"/>
    <w:rsid w:val="00194FE5"/>
    <w:rsid w:val="001A2DE2"/>
    <w:rsid w:val="001C4BA3"/>
    <w:rsid w:val="001D4F6B"/>
    <w:rsid w:val="001F2E84"/>
    <w:rsid w:val="001F4533"/>
    <w:rsid w:val="001F4648"/>
    <w:rsid w:val="001F581A"/>
    <w:rsid w:val="00212C15"/>
    <w:rsid w:val="0021602F"/>
    <w:rsid w:val="00223CC7"/>
    <w:rsid w:val="00224AC8"/>
    <w:rsid w:val="00224C9C"/>
    <w:rsid w:val="002305B4"/>
    <w:rsid w:val="00236910"/>
    <w:rsid w:val="00240AAF"/>
    <w:rsid w:val="0024591A"/>
    <w:rsid w:val="00265288"/>
    <w:rsid w:val="00284EA7"/>
    <w:rsid w:val="002A125B"/>
    <w:rsid w:val="002A7BE3"/>
    <w:rsid w:val="002C182A"/>
    <w:rsid w:val="002C284E"/>
    <w:rsid w:val="002C4980"/>
    <w:rsid w:val="002E404E"/>
    <w:rsid w:val="00302117"/>
    <w:rsid w:val="00307012"/>
    <w:rsid w:val="00317A00"/>
    <w:rsid w:val="00324738"/>
    <w:rsid w:val="00344FFC"/>
    <w:rsid w:val="003564B8"/>
    <w:rsid w:val="0039400E"/>
    <w:rsid w:val="003A0AC9"/>
    <w:rsid w:val="003A3DA5"/>
    <w:rsid w:val="003A4D68"/>
    <w:rsid w:val="003B38AB"/>
    <w:rsid w:val="003D38DC"/>
    <w:rsid w:val="003E2E59"/>
    <w:rsid w:val="003E737B"/>
    <w:rsid w:val="003F4947"/>
    <w:rsid w:val="00411811"/>
    <w:rsid w:val="00430BE2"/>
    <w:rsid w:val="00432DCC"/>
    <w:rsid w:val="004405C3"/>
    <w:rsid w:val="00442A6F"/>
    <w:rsid w:val="00451077"/>
    <w:rsid w:val="0045180F"/>
    <w:rsid w:val="00454417"/>
    <w:rsid w:val="004655FB"/>
    <w:rsid w:val="0047071B"/>
    <w:rsid w:val="00470A0A"/>
    <w:rsid w:val="004A2739"/>
    <w:rsid w:val="004A5290"/>
    <w:rsid w:val="004B0A1A"/>
    <w:rsid w:val="004B5B63"/>
    <w:rsid w:val="004C289E"/>
    <w:rsid w:val="004C3631"/>
    <w:rsid w:val="004C6787"/>
    <w:rsid w:val="004C734D"/>
    <w:rsid w:val="004D26C0"/>
    <w:rsid w:val="004E065E"/>
    <w:rsid w:val="004F3D93"/>
    <w:rsid w:val="004F69B4"/>
    <w:rsid w:val="00506EAE"/>
    <w:rsid w:val="0055024E"/>
    <w:rsid w:val="00560A51"/>
    <w:rsid w:val="00561059"/>
    <w:rsid w:val="0057569C"/>
    <w:rsid w:val="00584234"/>
    <w:rsid w:val="005860B8"/>
    <w:rsid w:val="005A1E09"/>
    <w:rsid w:val="005A332F"/>
    <w:rsid w:val="005C7B51"/>
    <w:rsid w:val="005E6A9B"/>
    <w:rsid w:val="005F0582"/>
    <w:rsid w:val="005F0A0C"/>
    <w:rsid w:val="006048F6"/>
    <w:rsid w:val="006050FD"/>
    <w:rsid w:val="00606809"/>
    <w:rsid w:val="00607A73"/>
    <w:rsid w:val="006222EE"/>
    <w:rsid w:val="006225AD"/>
    <w:rsid w:val="00627D66"/>
    <w:rsid w:val="0064073B"/>
    <w:rsid w:val="00643A09"/>
    <w:rsid w:val="00647C1A"/>
    <w:rsid w:val="00651CDA"/>
    <w:rsid w:val="00653696"/>
    <w:rsid w:val="00656B26"/>
    <w:rsid w:val="00663A31"/>
    <w:rsid w:val="0067276C"/>
    <w:rsid w:val="00677C1D"/>
    <w:rsid w:val="00677D79"/>
    <w:rsid w:val="006871A3"/>
    <w:rsid w:val="006A05AB"/>
    <w:rsid w:val="006A2FC7"/>
    <w:rsid w:val="006D39AD"/>
    <w:rsid w:val="00707A04"/>
    <w:rsid w:val="00710A82"/>
    <w:rsid w:val="00711092"/>
    <w:rsid w:val="00711FD0"/>
    <w:rsid w:val="00734B13"/>
    <w:rsid w:val="00735301"/>
    <w:rsid w:val="00736EB7"/>
    <w:rsid w:val="00754CAD"/>
    <w:rsid w:val="00756732"/>
    <w:rsid w:val="007615B2"/>
    <w:rsid w:val="007640B0"/>
    <w:rsid w:val="0076478E"/>
    <w:rsid w:val="00780B93"/>
    <w:rsid w:val="007B2D83"/>
    <w:rsid w:val="007B7047"/>
    <w:rsid w:val="007D54E9"/>
    <w:rsid w:val="007E0ACD"/>
    <w:rsid w:val="007E114E"/>
    <w:rsid w:val="00801FC9"/>
    <w:rsid w:val="00803B03"/>
    <w:rsid w:val="0080438F"/>
    <w:rsid w:val="0081210F"/>
    <w:rsid w:val="00830F62"/>
    <w:rsid w:val="00836ABA"/>
    <w:rsid w:val="00840C66"/>
    <w:rsid w:val="00841072"/>
    <w:rsid w:val="008512B8"/>
    <w:rsid w:val="00861F8F"/>
    <w:rsid w:val="00862AD7"/>
    <w:rsid w:val="00880AFD"/>
    <w:rsid w:val="0088379F"/>
    <w:rsid w:val="0089715E"/>
    <w:rsid w:val="008C1364"/>
    <w:rsid w:val="008D28D9"/>
    <w:rsid w:val="008D303B"/>
    <w:rsid w:val="00901F62"/>
    <w:rsid w:val="009030C3"/>
    <w:rsid w:val="009210E4"/>
    <w:rsid w:val="00934CBC"/>
    <w:rsid w:val="009412CD"/>
    <w:rsid w:val="009634C8"/>
    <w:rsid w:val="00967475"/>
    <w:rsid w:val="009709D5"/>
    <w:rsid w:val="0097316F"/>
    <w:rsid w:val="0098720A"/>
    <w:rsid w:val="00997ACE"/>
    <w:rsid w:val="009A2F05"/>
    <w:rsid w:val="009B117D"/>
    <w:rsid w:val="009B265E"/>
    <w:rsid w:val="009B273F"/>
    <w:rsid w:val="009B62F6"/>
    <w:rsid w:val="009C28DB"/>
    <w:rsid w:val="009C635A"/>
    <w:rsid w:val="009E44F3"/>
    <w:rsid w:val="009F104B"/>
    <w:rsid w:val="00A02D27"/>
    <w:rsid w:val="00A04F71"/>
    <w:rsid w:val="00A271FD"/>
    <w:rsid w:val="00A2746E"/>
    <w:rsid w:val="00A324DD"/>
    <w:rsid w:val="00A32528"/>
    <w:rsid w:val="00A441EB"/>
    <w:rsid w:val="00A51E02"/>
    <w:rsid w:val="00A52BE2"/>
    <w:rsid w:val="00A55425"/>
    <w:rsid w:val="00A640FE"/>
    <w:rsid w:val="00A65667"/>
    <w:rsid w:val="00A95AAA"/>
    <w:rsid w:val="00AA198D"/>
    <w:rsid w:val="00AA5A4E"/>
    <w:rsid w:val="00AC60BF"/>
    <w:rsid w:val="00AC7B35"/>
    <w:rsid w:val="00AE4E9E"/>
    <w:rsid w:val="00B04A5D"/>
    <w:rsid w:val="00B063DE"/>
    <w:rsid w:val="00B13A78"/>
    <w:rsid w:val="00B22939"/>
    <w:rsid w:val="00B2774B"/>
    <w:rsid w:val="00B47F31"/>
    <w:rsid w:val="00B50BC0"/>
    <w:rsid w:val="00B7733D"/>
    <w:rsid w:val="00B87CD9"/>
    <w:rsid w:val="00B905BD"/>
    <w:rsid w:val="00B92693"/>
    <w:rsid w:val="00B957BC"/>
    <w:rsid w:val="00BD18D1"/>
    <w:rsid w:val="00BE1878"/>
    <w:rsid w:val="00C07644"/>
    <w:rsid w:val="00C11C8F"/>
    <w:rsid w:val="00C3642B"/>
    <w:rsid w:val="00C40D18"/>
    <w:rsid w:val="00C67352"/>
    <w:rsid w:val="00C95D69"/>
    <w:rsid w:val="00CB0CA7"/>
    <w:rsid w:val="00CC78A6"/>
    <w:rsid w:val="00CE4482"/>
    <w:rsid w:val="00CE6DAF"/>
    <w:rsid w:val="00CE70B8"/>
    <w:rsid w:val="00CE7C32"/>
    <w:rsid w:val="00D14731"/>
    <w:rsid w:val="00D5337E"/>
    <w:rsid w:val="00D8047C"/>
    <w:rsid w:val="00D83EAB"/>
    <w:rsid w:val="00DB345F"/>
    <w:rsid w:val="00DB6AD6"/>
    <w:rsid w:val="00DE39EC"/>
    <w:rsid w:val="00DE75AF"/>
    <w:rsid w:val="00DF710E"/>
    <w:rsid w:val="00E05C24"/>
    <w:rsid w:val="00E0617C"/>
    <w:rsid w:val="00E15D10"/>
    <w:rsid w:val="00E34793"/>
    <w:rsid w:val="00E53B2F"/>
    <w:rsid w:val="00E5598D"/>
    <w:rsid w:val="00E6116D"/>
    <w:rsid w:val="00E63ACA"/>
    <w:rsid w:val="00E6431C"/>
    <w:rsid w:val="00E65710"/>
    <w:rsid w:val="00E676F6"/>
    <w:rsid w:val="00E70A60"/>
    <w:rsid w:val="00E7395C"/>
    <w:rsid w:val="00E822E8"/>
    <w:rsid w:val="00E94D61"/>
    <w:rsid w:val="00EA487E"/>
    <w:rsid w:val="00EB2C93"/>
    <w:rsid w:val="00ED5645"/>
    <w:rsid w:val="00EF30E9"/>
    <w:rsid w:val="00EF6FB6"/>
    <w:rsid w:val="00F029BA"/>
    <w:rsid w:val="00F13045"/>
    <w:rsid w:val="00F1314D"/>
    <w:rsid w:val="00F21126"/>
    <w:rsid w:val="00F479D1"/>
    <w:rsid w:val="00F50C1D"/>
    <w:rsid w:val="00F86262"/>
    <w:rsid w:val="00F86DDA"/>
    <w:rsid w:val="00F97090"/>
    <w:rsid w:val="01225CF9"/>
    <w:rsid w:val="016E6F73"/>
    <w:rsid w:val="01833C48"/>
    <w:rsid w:val="020005B5"/>
    <w:rsid w:val="0279214F"/>
    <w:rsid w:val="02B14F6C"/>
    <w:rsid w:val="02CF00E0"/>
    <w:rsid w:val="031C78C1"/>
    <w:rsid w:val="031F30FA"/>
    <w:rsid w:val="03606EA3"/>
    <w:rsid w:val="03B3093F"/>
    <w:rsid w:val="03C06CD6"/>
    <w:rsid w:val="03CC03B9"/>
    <w:rsid w:val="040836EC"/>
    <w:rsid w:val="04170993"/>
    <w:rsid w:val="04367AC1"/>
    <w:rsid w:val="04376C93"/>
    <w:rsid w:val="046242EE"/>
    <w:rsid w:val="053A0E32"/>
    <w:rsid w:val="05BA26FE"/>
    <w:rsid w:val="05D67FE3"/>
    <w:rsid w:val="05F36258"/>
    <w:rsid w:val="065412B9"/>
    <w:rsid w:val="06817C0E"/>
    <w:rsid w:val="06AA2435"/>
    <w:rsid w:val="06AD129F"/>
    <w:rsid w:val="06B6687C"/>
    <w:rsid w:val="06E935EF"/>
    <w:rsid w:val="07173B22"/>
    <w:rsid w:val="078D1492"/>
    <w:rsid w:val="07DB19A8"/>
    <w:rsid w:val="08040002"/>
    <w:rsid w:val="08493132"/>
    <w:rsid w:val="08724D47"/>
    <w:rsid w:val="0912360E"/>
    <w:rsid w:val="09366701"/>
    <w:rsid w:val="09447DFD"/>
    <w:rsid w:val="096F66D4"/>
    <w:rsid w:val="0A1A550F"/>
    <w:rsid w:val="0A5E77E6"/>
    <w:rsid w:val="0AA73AC3"/>
    <w:rsid w:val="0AC01469"/>
    <w:rsid w:val="0AD2646C"/>
    <w:rsid w:val="0AE370B2"/>
    <w:rsid w:val="0B5D1FCE"/>
    <w:rsid w:val="0B882E4F"/>
    <w:rsid w:val="0BB4719A"/>
    <w:rsid w:val="0C4909DA"/>
    <w:rsid w:val="0C5D0400"/>
    <w:rsid w:val="0C5E4F18"/>
    <w:rsid w:val="0CEC5136"/>
    <w:rsid w:val="0D3B42A0"/>
    <w:rsid w:val="0D6A5ADD"/>
    <w:rsid w:val="0E302D1F"/>
    <w:rsid w:val="0EB512C7"/>
    <w:rsid w:val="0EEE1753"/>
    <w:rsid w:val="0EFC3EEB"/>
    <w:rsid w:val="0F2D4EB4"/>
    <w:rsid w:val="0F706E5C"/>
    <w:rsid w:val="0F7B2929"/>
    <w:rsid w:val="10D67E0A"/>
    <w:rsid w:val="10EB0DDE"/>
    <w:rsid w:val="10EC5191"/>
    <w:rsid w:val="11082B5C"/>
    <w:rsid w:val="11821BC6"/>
    <w:rsid w:val="1191264B"/>
    <w:rsid w:val="11D201AE"/>
    <w:rsid w:val="11F37B00"/>
    <w:rsid w:val="1222672A"/>
    <w:rsid w:val="12B77F46"/>
    <w:rsid w:val="12BF3268"/>
    <w:rsid w:val="12F835D3"/>
    <w:rsid w:val="132B5C0B"/>
    <w:rsid w:val="137541C8"/>
    <w:rsid w:val="1394399F"/>
    <w:rsid w:val="139B2DD4"/>
    <w:rsid w:val="13C806DB"/>
    <w:rsid w:val="13CF0C3B"/>
    <w:rsid w:val="13E07C4C"/>
    <w:rsid w:val="14033566"/>
    <w:rsid w:val="140E77B4"/>
    <w:rsid w:val="149E52F4"/>
    <w:rsid w:val="14BA594B"/>
    <w:rsid w:val="14DD54D7"/>
    <w:rsid w:val="151568F4"/>
    <w:rsid w:val="15474198"/>
    <w:rsid w:val="15CC3A11"/>
    <w:rsid w:val="15DA5E7A"/>
    <w:rsid w:val="1604527B"/>
    <w:rsid w:val="161F4231"/>
    <w:rsid w:val="162E5595"/>
    <w:rsid w:val="16740EF1"/>
    <w:rsid w:val="16C943CF"/>
    <w:rsid w:val="17872971"/>
    <w:rsid w:val="18FF3539"/>
    <w:rsid w:val="190829CC"/>
    <w:rsid w:val="19251DF8"/>
    <w:rsid w:val="197D20CF"/>
    <w:rsid w:val="198B2702"/>
    <w:rsid w:val="19F2360B"/>
    <w:rsid w:val="1A044098"/>
    <w:rsid w:val="1A584AEB"/>
    <w:rsid w:val="1AA07AAD"/>
    <w:rsid w:val="1ACC25CB"/>
    <w:rsid w:val="1B2B4FB7"/>
    <w:rsid w:val="1B3B0163"/>
    <w:rsid w:val="1B64489E"/>
    <w:rsid w:val="1C3216B6"/>
    <w:rsid w:val="1C843BC0"/>
    <w:rsid w:val="1C89528C"/>
    <w:rsid w:val="1CEE7EBE"/>
    <w:rsid w:val="1D0B0DFA"/>
    <w:rsid w:val="1D2F30C9"/>
    <w:rsid w:val="1D587595"/>
    <w:rsid w:val="1DA46409"/>
    <w:rsid w:val="1E9E088F"/>
    <w:rsid w:val="1ED01308"/>
    <w:rsid w:val="1F1A14ED"/>
    <w:rsid w:val="1F6F1D47"/>
    <w:rsid w:val="20254630"/>
    <w:rsid w:val="203D33F3"/>
    <w:rsid w:val="206B7AE8"/>
    <w:rsid w:val="20801D2E"/>
    <w:rsid w:val="210F58F9"/>
    <w:rsid w:val="212914AE"/>
    <w:rsid w:val="21B172E0"/>
    <w:rsid w:val="21CD7306"/>
    <w:rsid w:val="221503E1"/>
    <w:rsid w:val="22B21C38"/>
    <w:rsid w:val="22CE63A2"/>
    <w:rsid w:val="234C7D55"/>
    <w:rsid w:val="23AD7BD5"/>
    <w:rsid w:val="23B239A5"/>
    <w:rsid w:val="23C148C4"/>
    <w:rsid w:val="23EE1AE2"/>
    <w:rsid w:val="243B3D8A"/>
    <w:rsid w:val="2464684E"/>
    <w:rsid w:val="24714656"/>
    <w:rsid w:val="248831A6"/>
    <w:rsid w:val="24E552AF"/>
    <w:rsid w:val="24F367A4"/>
    <w:rsid w:val="252B1D38"/>
    <w:rsid w:val="253677D8"/>
    <w:rsid w:val="25EA5900"/>
    <w:rsid w:val="260D3254"/>
    <w:rsid w:val="26FB5035"/>
    <w:rsid w:val="278620E2"/>
    <w:rsid w:val="27A2404B"/>
    <w:rsid w:val="27A86819"/>
    <w:rsid w:val="280D7140"/>
    <w:rsid w:val="28564524"/>
    <w:rsid w:val="2876424C"/>
    <w:rsid w:val="290577CB"/>
    <w:rsid w:val="2921242B"/>
    <w:rsid w:val="2925393C"/>
    <w:rsid w:val="29791AED"/>
    <w:rsid w:val="29AC7173"/>
    <w:rsid w:val="29E36A13"/>
    <w:rsid w:val="2A020C79"/>
    <w:rsid w:val="2A141278"/>
    <w:rsid w:val="2A1E7839"/>
    <w:rsid w:val="2A727C98"/>
    <w:rsid w:val="2BAE71AA"/>
    <w:rsid w:val="2BFE26B2"/>
    <w:rsid w:val="2C7776FC"/>
    <w:rsid w:val="2CA303AF"/>
    <w:rsid w:val="2CCB4A27"/>
    <w:rsid w:val="2CDE1E8D"/>
    <w:rsid w:val="2CFC31B3"/>
    <w:rsid w:val="2D3B232A"/>
    <w:rsid w:val="2D983571"/>
    <w:rsid w:val="2DC649CA"/>
    <w:rsid w:val="2E4436B0"/>
    <w:rsid w:val="2E803C85"/>
    <w:rsid w:val="2E8C5501"/>
    <w:rsid w:val="2EC20166"/>
    <w:rsid w:val="2EC55901"/>
    <w:rsid w:val="2F472842"/>
    <w:rsid w:val="2F9A5B5C"/>
    <w:rsid w:val="2FE93FBB"/>
    <w:rsid w:val="3013396A"/>
    <w:rsid w:val="3050154C"/>
    <w:rsid w:val="30505DA6"/>
    <w:rsid w:val="30AB51AE"/>
    <w:rsid w:val="311E5B63"/>
    <w:rsid w:val="312D2FAF"/>
    <w:rsid w:val="31776B73"/>
    <w:rsid w:val="324676AF"/>
    <w:rsid w:val="327029CA"/>
    <w:rsid w:val="32766774"/>
    <w:rsid w:val="328D64AC"/>
    <w:rsid w:val="32B13D49"/>
    <w:rsid w:val="332E23E3"/>
    <w:rsid w:val="338356AF"/>
    <w:rsid w:val="33A12142"/>
    <w:rsid w:val="33A831CF"/>
    <w:rsid w:val="33B17A94"/>
    <w:rsid w:val="33B42D42"/>
    <w:rsid w:val="34180581"/>
    <w:rsid w:val="34AC30E7"/>
    <w:rsid w:val="34D8764B"/>
    <w:rsid w:val="35781BAF"/>
    <w:rsid w:val="364C5B06"/>
    <w:rsid w:val="366B345A"/>
    <w:rsid w:val="370966C1"/>
    <w:rsid w:val="379327B4"/>
    <w:rsid w:val="37AC404A"/>
    <w:rsid w:val="37F76509"/>
    <w:rsid w:val="381A037F"/>
    <w:rsid w:val="381F1646"/>
    <w:rsid w:val="38264159"/>
    <w:rsid w:val="38380D46"/>
    <w:rsid w:val="385F5FBD"/>
    <w:rsid w:val="38695E0A"/>
    <w:rsid w:val="38A334DA"/>
    <w:rsid w:val="38A95111"/>
    <w:rsid w:val="38CA2C03"/>
    <w:rsid w:val="3910444B"/>
    <w:rsid w:val="391B05CD"/>
    <w:rsid w:val="3953577E"/>
    <w:rsid w:val="3A086B40"/>
    <w:rsid w:val="3A440ED7"/>
    <w:rsid w:val="3A5159AC"/>
    <w:rsid w:val="3A52765C"/>
    <w:rsid w:val="3A5672F7"/>
    <w:rsid w:val="3A7B5C63"/>
    <w:rsid w:val="3A8550B5"/>
    <w:rsid w:val="3ABD6C82"/>
    <w:rsid w:val="3AD01D96"/>
    <w:rsid w:val="3B98415E"/>
    <w:rsid w:val="3C24587B"/>
    <w:rsid w:val="3C634820"/>
    <w:rsid w:val="3C67110C"/>
    <w:rsid w:val="3C7D2911"/>
    <w:rsid w:val="3C7E1AAF"/>
    <w:rsid w:val="3D2705A6"/>
    <w:rsid w:val="3DA977DA"/>
    <w:rsid w:val="3DED4948"/>
    <w:rsid w:val="3E2A5A94"/>
    <w:rsid w:val="3E917B48"/>
    <w:rsid w:val="3E955680"/>
    <w:rsid w:val="3EBD79ED"/>
    <w:rsid w:val="3FF06F7C"/>
    <w:rsid w:val="40227934"/>
    <w:rsid w:val="4029740A"/>
    <w:rsid w:val="4084084B"/>
    <w:rsid w:val="40A31163"/>
    <w:rsid w:val="40B272AD"/>
    <w:rsid w:val="40B93696"/>
    <w:rsid w:val="41496E0D"/>
    <w:rsid w:val="416E3701"/>
    <w:rsid w:val="41DB532F"/>
    <w:rsid w:val="41E322F7"/>
    <w:rsid w:val="42441641"/>
    <w:rsid w:val="4254266E"/>
    <w:rsid w:val="426D13DD"/>
    <w:rsid w:val="42AA2997"/>
    <w:rsid w:val="43050CEB"/>
    <w:rsid w:val="432F2C2F"/>
    <w:rsid w:val="43FF06DE"/>
    <w:rsid w:val="44D734AA"/>
    <w:rsid w:val="44F64BA6"/>
    <w:rsid w:val="44FF3179"/>
    <w:rsid w:val="44FF73B9"/>
    <w:rsid w:val="45487B71"/>
    <w:rsid w:val="45743566"/>
    <w:rsid w:val="45B53853"/>
    <w:rsid w:val="45D240F0"/>
    <w:rsid w:val="46965F4B"/>
    <w:rsid w:val="46A41BD2"/>
    <w:rsid w:val="46DE37C4"/>
    <w:rsid w:val="470C3FCC"/>
    <w:rsid w:val="47131382"/>
    <w:rsid w:val="47707BE5"/>
    <w:rsid w:val="478413D5"/>
    <w:rsid w:val="47B51ACD"/>
    <w:rsid w:val="47D02B8E"/>
    <w:rsid w:val="47F044F5"/>
    <w:rsid w:val="482153DF"/>
    <w:rsid w:val="483401AF"/>
    <w:rsid w:val="49187FD2"/>
    <w:rsid w:val="4979796D"/>
    <w:rsid w:val="4A037EE1"/>
    <w:rsid w:val="4AAC31A9"/>
    <w:rsid w:val="4AF07409"/>
    <w:rsid w:val="4B9C7C25"/>
    <w:rsid w:val="4BB44D37"/>
    <w:rsid w:val="4BD21943"/>
    <w:rsid w:val="4BE95168"/>
    <w:rsid w:val="4BF567D5"/>
    <w:rsid w:val="4C027358"/>
    <w:rsid w:val="4C8954F2"/>
    <w:rsid w:val="4CB04D0D"/>
    <w:rsid w:val="4CC95596"/>
    <w:rsid w:val="4CF32BD3"/>
    <w:rsid w:val="4D387C07"/>
    <w:rsid w:val="4D575654"/>
    <w:rsid w:val="4DA91F08"/>
    <w:rsid w:val="4DFA1E96"/>
    <w:rsid w:val="4EDB207C"/>
    <w:rsid w:val="4F061FC3"/>
    <w:rsid w:val="4F5D7071"/>
    <w:rsid w:val="4F6A3B92"/>
    <w:rsid w:val="4FB05D46"/>
    <w:rsid w:val="4FC2263B"/>
    <w:rsid w:val="500957ED"/>
    <w:rsid w:val="504459EA"/>
    <w:rsid w:val="505F09D8"/>
    <w:rsid w:val="50737A9E"/>
    <w:rsid w:val="509E074D"/>
    <w:rsid w:val="50BC5250"/>
    <w:rsid w:val="51044544"/>
    <w:rsid w:val="51771FF5"/>
    <w:rsid w:val="51FD113D"/>
    <w:rsid w:val="52187397"/>
    <w:rsid w:val="527138C4"/>
    <w:rsid w:val="528038CA"/>
    <w:rsid w:val="52982F23"/>
    <w:rsid w:val="529C2DD5"/>
    <w:rsid w:val="535D2F6E"/>
    <w:rsid w:val="538C47A7"/>
    <w:rsid w:val="53AE2411"/>
    <w:rsid w:val="53F82084"/>
    <w:rsid w:val="54470CAB"/>
    <w:rsid w:val="545255F2"/>
    <w:rsid w:val="548963DF"/>
    <w:rsid w:val="54BD5BC7"/>
    <w:rsid w:val="54C0602B"/>
    <w:rsid w:val="55575A2E"/>
    <w:rsid w:val="556963CE"/>
    <w:rsid w:val="55C937C6"/>
    <w:rsid w:val="564102E6"/>
    <w:rsid w:val="567F0E9E"/>
    <w:rsid w:val="56DB4044"/>
    <w:rsid w:val="56F54E18"/>
    <w:rsid w:val="570A0218"/>
    <w:rsid w:val="570D5005"/>
    <w:rsid w:val="571A04B9"/>
    <w:rsid w:val="57B07902"/>
    <w:rsid w:val="57C557AD"/>
    <w:rsid w:val="58193F5D"/>
    <w:rsid w:val="58470FEF"/>
    <w:rsid w:val="586F7D41"/>
    <w:rsid w:val="58824E7D"/>
    <w:rsid w:val="58DB531A"/>
    <w:rsid w:val="58E93C01"/>
    <w:rsid w:val="592363E4"/>
    <w:rsid w:val="598816FF"/>
    <w:rsid w:val="59F06F53"/>
    <w:rsid w:val="59F60EDC"/>
    <w:rsid w:val="5A042644"/>
    <w:rsid w:val="5A49258A"/>
    <w:rsid w:val="5A5E0436"/>
    <w:rsid w:val="5A8555B7"/>
    <w:rsid w:val="5ACD22BF"/>
    <w:rsid w:val="5B0E5A71"/>
    <w:rsid w:val="5B1043CF"/>
    <w:rsid w:val="5B117B27"/>
    <w:rsid w:val="5B175DCF"/>
    <w:rsid w:val="5B9A4EE7"/>
    <w:rsid w:val="5C661EC9"/>
    <w:rsid w:val="5C8018BB"/>
    <w:rsid w:val="5C9A2C90"/>
    <w:rsid w:val="5CD311A2"/>
    <w:rsid w:val="5D24591E"/>
    <w:rsid w:val="5D3932E4"/>
    <w:rsid w:val="5D467C32"/>
    <w:rsid w:val="5DB71CBC"/>
    <w:rsid w:val="5DE41DB9"/>
    <w:rsid w:val="5DE85A04"/>
    <w:rsid w:val="5E3007F8"/>
    <w:rsid w:val="5EA11179"/>
    <w:rsid w:val="5F301C4C"/>
    <w:rsid w:val="5F4131DC"/>
    <w:rsid w:val="5F6576A9"/>
    <w:rsid w:val="5FD42756"/>
    <w:rsid w:val="603010A6"/>
    <w:rsid w:val="603E39CC"/>
    <w:rsid w:val="605974CD"/>
    <w:rsid w:val="60AE45F4"/>
    <w:rsid w:val="60CB3357"/>
    <w:rsid w:val="610601A8"/>
    <w:rsid w:val="613E7B61"/>
    <w:rsid w:val="61521FD2"/>
    <w:rsid w:val="615E2556"/>
    <w:rsid w:val="61776308"/>
    <w:rsid w:val="61AB10BA"/>
    <w:rsid w:val="62293CA4"/>
    <w:rsid w:val="62E2410C"/>
    <w:rsid w:val="632168FB"/>
    <w:rsid w:val="63336E72"/>
    <w:rsid w:val="6347074B"/>
    <w:rsid w:val="636D4694"/>
    <w:rsid w:val="63726F37"/>
    <w:rsid w:val="63FF646B"/>
    <w:rsid w:val="641B2E73"/>
    <w:rsid w:val="642041B7"/>
    <w:rsid w:val="64563A38"/>
    <w:rsid w:val="64767163"/>
    <w:rsid w:val="647764E4"/>
    <w:rsid w:val="648D0F8B"/>
    <w:rsid w:val="65406127"/>
    <w:rsid w:val="65770233"/>
    <w:rsid w:val="65A3334E"/>
    <w:rsid w:val="668D4217"/>
    <w:rsid w:val="669A74E6"/>
    <w:rsid w:val="669C59FF"/>
    <w:rsid w:val="66E3784D"/>
    <w:rsid w:val="66FC3F95"/>
    <w:rsid w:val="67366FD6"/>
    <w:rsid w:val="673A2422"/>
    <w:rsid w:val="67562484"/>
    <w:rsid w:val="679F7BA5"/>
    <w:rsid w:val="67DE7F04"/>
    <w:rsid w:val="67FA35DD"/>
    <w:rsid w:val="688001AC"/>
    <w:rsid w:val="688C2CEF"/>
    <w:rsid w:val="68E65685"/>
    <w:rsid w:val="69443152"/>
    <w:rsid w:val="69AB7BC1"/>
    <w:rsid w:val="69BB3C3D"/>
    <w:rsid w:val="69BC652C"/>
    <w:rsid w:val="69C35D08"/>
    <w:rsid w:val="69CE7E1B"/>
    <w:rsid w:val="6A356457"/>
    <w:rsid w:val="6A521B40"/>
    <w:rsid w:val="6AB96FBC"/>
    <w:rsid w:val="6B760770"/>
    <w:rsid w:val="6C18417E"/>
    <w:rsid w:val="6C560ADB"/>
    <w:rsid w:val="6D036664"/>
    <w:rsid w:val="6D26313F"/>
    <w:rsid w:val="6D352D7A"/>
    <w:rsid w:val="6D5F43D6"/>
    <w:rsid w:val="6DE40848"/>
    <w:rsid w:val="6DF1394E"/>
    <w:rsid w:val="6E133885"/>
    <w:rsid w:val="6E15726F"/>
    <w:rsid w:val="6E1F6876"/>
    <w:rsid w:val="6E4A00FE"/>
    <w:rsid w:val="6E5D2787"/>
    <w:rsid w:val="6E864EDD"/>
    <w:rsid w:val="6F0664C6"/>
    <w:rsid w:val="6F0E6C82"/>
    <w:rsid w:val="6F2601A8"/>
    <w:rsid w:val="6F862338"/>
    <w:rsid w:val="6FE54065"/>
    <w:rsid w:val="70153F46"/>
    <w:rsid w:val="703361BC"/>
    <w:rsid w:val="706F2887"/>
    <w:rsid w:val="70FB47ED"/>
    <w:rsid w:val="70FC11F1"/>
    <w:rsid w:val="71095B17"/>
    <w:rsid w:val="7118016D"/>
    <w:rsid w:val="71F71D7B"/>
    <w:rsid w:val="7251745E"/>
    <w:rsid w:val="72571044"/>
    <w:rsid w:val="728E1D44"/>
    <w:rsid w:val="72D0582C"/>
    <w:rsid w:val="72D84638"/>
    <w:rsid w:val="73186AF1"/>
    <w:rsid w:val="73765A78"/>
    <w:rsid w:val="73D1109C"/>
    <w:rsid w:val="74D16E12"/>
    <w:rsid w:val="75505605"/>
    <w:rsid w:val="755373D5"/>
    <w:rsid w:val="758E2898"/>
    <w:rsid w:val="75911BCB"/>
    <w:rsid w:val="75924D51"/>
    <w:rsid w:val="75B23E2A"/>
    <w:rsid w:val="75BC32E5"/>
    <w:rsid w:val="762764F1"/>
    <w:rsid w:val="764A058D"/>
    <w:rsid w:val="769E5CF4"/>
    <w:rsid w:val="76CD6F5F"/>
    <w:rsid w:val="773D380D"/>
    <w:rsid w:val="777A23FD"/>
    <w:rsid w:val="77A2309B"/>
    <w:rsid w:val="780C05EF"/>
    <w:rsid w:val="780E4904"/>
    <w:rsid w:val="786532E6"/>
    <w:rsid w:val="786E4F7E"/>
    <w:rsid w:val="78C513FE"/>
    <w:rsid w:val="78E25BF2"/>
    <w:rsid w:val="79773260"/>
    <w:rsid w:val="79CF5F50"/>
    <w:rsid w:val="79DE0789"/>
    <w:rsid w:val="79EC087D"/>
    <w:rsid w:val="7A410754"/>
    <w:rsid w:val="7A605188"/>
    <w:rsid w:val="7A9A5922"/>
    <w:rsid w:val="7AD071DD"/>
    <w:rsid w:val="7AFA3487"/>
    <w:rsid w:val="7B6E3F12"/>
    <w:rsid w:val="7B7017ED"/>
    <w:rsid w:val="7C44659E"/>
    <w:rsid w:val="7C7C36FA"/>
    <w:rsid w:val="7C820004"/>
    <w:rsid w:val="7C877802"/>
    <w:rsid w:val="7CBC2367"/>
    <w:rsid w:val="7D0D0690"/>
    <w:rsid w:val="7D4D2E29"/>
    <w:rsid w:val="7D6A567C"/>
    <w:rsid w:val="7DAA737F"/>
    <w:rsid w:val="7DC7108B"/>
    <w:rsid w:val="7E3A5D28"/>
    <w:rsid w:val="7E6C1560"/>
    <w:rsid w:val="7F1A61CF"/>
    <w:rsid w:val="7F4E5050"/>
    <w:rsid w:val="7F553375"/>
    <w:rsid w:val="7F6B1F73"/>
    <w:rsid w:val="7F893953"/>
    <w:rsid w:val="7FD47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4">
    <w:name w:val="caption"/>
    <w:basedOn w:val="1"/>
    <w:next w:val="1"/>
    <w:qFormat/>
    <w:uiPriority w:val="0"/>
    <w:rPr>
      <w:rFonts w:ascii="Cambria" w:hAnsi="Cambria" w:eastAsia="黑体" w:cs="Cambria"/>
      <w:sz w:val="20"/>
    </w:rPr>
  </w:style>
  <w:style w:type="paragraph" w:styleId="5">
    <w:name w:val="annotation text"/>
    <w:basedOn w:val="1"/>
    <w:qFormat/>
    <w:uiPriority w:val="0"/>
    <w:pPr>
      <w:jc w:val="left"/>
    </w:pPr>
  </w:style>
  <w:style w:type="paragraph" w:styleId="6">
    <w:name w:val="Date"/>
    <w:basedOn w:val="1"/>
    <w:next w:val="1"/>
    <w:qFormat/>
    <w:uiPriority w:val="0"/>
    <w:pPr>
      <w:ind w:left="100" w:leftChars="2500"/>
    </w:pPr>
    <w:rPr>
      <w:rFonts w:ascii="仿宋_GB2312" w:eastAsia="仿宋_GB2312"/>
      <w:sz w:val="32"/>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olor w:val="000000"/>
      <w:kern w:val="0"/>
      <w:sz w:val="18"/>
      <w:szCs w:val="18"/>
    </w:rPr>
  </w:style>
  <w:style w:type="character" w:styleId="13">
    <w:name w:val="page number"/>
    <w:basedOn w:val="12"/>
    <w:qFormat/>
    <w:uiPriority w:val="0"/>
  </w:style>
  <w:style w:type="character" w:styleId="14">
    <w:name w:val="FollowedHyperlink"/>
    <w:basedOn w:val="12"/>
    <w:qFormat/>
    <w:uiPriority w:val="0"/>
    <w:rPr>
      <w:color w:val="333333"/>
      <w:u w:val="none"/>
    </w:rPr>
  </w:style>
  <w:style w:type="character" w:styleId="15">
    <w:name w:val="Hyperlink"/>
    <w:basedOn w:val="12"/>
    <w:qFormat/>
    <w:uiPriority w:val="0"/>
    <w:rPr>
      <w:color w:val="333333"/>
      <w:u w:val="none"/>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平级发文.dot</Template>
  <Company>tjec</Company>
  <Pages>8</Pages>
  <Words>613</Words>
  <Characters>3499</Characters>
  <Lines>29</Lines>
  <Paragraphs>8</Paragraphs>
  <TotalTime>30</TotalTime>
  <ScaleCrop>false</ScaleCrop>
  <LinksUpToDate>false</LinksUpToDate>
  <CharactersWithSpaces>4104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2018-03-20T06:22:00Z</dcterms:created>
  <dc:creator>办公室</dc:creator>
  <cp:lastModifiedBy>鍾晾</cp:lastModifiedBy>
  <cp:lastPrinted>2019-03-21T01:58:00Z</cp:lastPrinted>
  <dcterms:modified xsi:type="dcterms:W3CDTF">2021-05-24T01:14:13Z</dcterms:modified>
  <dc:title>津经[2003]号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2E921895083F4D6299D0BCBA50AD8D70</vt:lpwstr>
  </property>
</Properties>
</file>