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64" w:rsidRDefault="00891E64" w:rsidP="00891E64">
      <w:pPr>
        <w:adjustRightInd w:val="0"/>
        <w:snapToGrid w:val="0"/>
        <w:spacing w:line="560" w:lineRule="exact"/>
        <w:ind w:firstLine="680"/>
        <w:rPr>
          <w:rFonts w:ascii="黑体" w:eastAsia="黑体" w:hint="eastAsia"/>
          <w:sz w:val="34"/>
          <w:szCs w:val="34"/>
        </w:rPr>
      </w:pPr>
      <w:r>
        <w:rPr>
          <w:rFonts w:ascii="黑体" w:eastAsia="黑体" w:hint="eastAsia"/>
          <w:sz w:val="34"/>
          <w:szCs w:val="34"/>
        </w:rPr>
        <w:t>附件</w:t>
      </w:r>
      <w:r>
        <w:rPr>
          <w:rFonts w:eastAsia="黑体" w:hint="eastAsia"/>
          <w:sz w:val="34"/>
          <w:szCs w:val="34"/>
        </w:rPr>
        <w:t>1</w:t>
      </w:r>
    </w:p>
    <w:p w:rsidR="00891E64" w:rsidRDefault="00891E64" w:rsidP="00891E6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填报说明</w:t>
      </w:r>
    </w:p>
    <w:p w:rsidR="00891E64" w:rsidRDefault="00891E64" w:rsidP="00891E64">
      <w:pPr>
        <w:spacing w:line="560" w:lineRule="exact"/>
        <w:jc w:val="center"/>
        <w:rPr>
          <w:rFonts w:ascii="仿宋_GB2312" w:eastAsia="仿宋_GB2312" w:hAnsi="仿宋_GB2312" w:cs="仿宋_GB2312" w:hint="eastAsia"/>
          <w:sz w:val="34"/>
          <w:szCs w:val="34"/>
        </w:rPr>
      </w:pPr>
    </w:p>
    <w:p w:rsidR="00891E64" w:rsidRDefault="00891E64" w:rsidP="00891E64">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一、基本事项</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（一）表中的所有项目由印刷企业如实填写，没有的项目填写</w:t>
      </w:r>
      <w:r>
        <w:rPr>
          <w:rFonts w:eastAsia="仿宋_GB2312"/>
          <w:sz w:val="32"/>
          <w:szCs w:val="32"/>
        </w:rPr>
        <w:t>“</w:t>
      </w:r>
      <w:r>
        <w:rPr>
          <w:rFonts w:eastAsia="仿宋_GB2312"/>
          <w:sz w:val="32"/>
          <w:szCs w:val="32"/>
        </w:rPr>
        <w:t>无</w:t>
      </w:r>
      <w:r>
        <w:rPr>
          <w:rFonts w:eastAsia="仿宋_GB2312"/>
          <w:sz w:val="32"/>
          <w:szCs w:val="32"/>
        </w:rPr>
        <w:t>”</w:t>
      </w:r>
      <w:r>
        <w:rPr>
          <w:rFonts w:eastAsia="仿宋_GB2312"/>
          <w:sz w:val="32"/>
          <w:szCs w:val="32"/>
        </w:rPr>
        <w:t>。</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（二）所提交的文件、证件复印件统一使用</w:t>
      </w:r>
      <w:r>
        <w:rPr>
          <w:rFonts w:eastAsia="仿宋_GB2312"/>
          <w:sz w:val="32"/>
          <w:szCs w:val="32"/>
        </w:rPr>
        <w:t>A4</w:t>
      </w:r>
      <w:r>
        <w:rPr>
          <w:rFonts w:eastAsia="仿宋_GB2312"/>
          <w:sz w:val="32"/>
          <w:szCs w:val="32"/>
        </w:rPr>
        <w:t>纸，并盖章确认。</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）日期、时间按年月填写，一律使用公历和阿拉伯数字。</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）表中有</w:t>
      </w:r>
      <w:r>
        <w:rPr>
          <w:rFonts w:eastAsia="仿宋_GB2312"/>
          <w:sz w:val="32"/>
          <w:szCs w:val="32"/>
        </w:rPr>
        <w:t>“□”</w:t>
      </w:r>
      <w:r>
        <w:rPr>
          <w:rFonts w:eastAsia="仿宋_GB2312"/>
          <w:sz w:val="32"/>
          <w:szCs w:val="32"/>
        </w:rPr>
        <w:t>部分应用</w:t>
      </w:r>
      <w:r>
        <w:rPr>
          <w:rFonts w:eastAsia="仿宋_GB2312"/>
          <w:sz w:val="32"/>
          <w:szCs w:val="32"/>
        </w:rPr>
        <w:t>“√”</w:t>
      </w:r>
      <w:r>
        <w:rPr>
          <w:rFonts w:eastAsia="仿宋_GB2312"/>
          <w:sz w:val="32"/>
          <w:szCs w:val="32"/>
        </w:rPr>
        <w:t>标识。</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）严格按照表内所规定的单位填写，有小数位的保留至小数点后</w:t>
      </w:r>
      <w:r>
        <w:rPr>
          <w:rFonts w:eastAsia="仿宋_GB2312"/>
          <w:sz w:val="32"/>
          <w:szCs w:val="32"/>
        </w:rPr>
        <w:t>2</w:t>
      </w:r>
      <w:r>
        <w:rPr>
          <w:rFonts w:eastAsia="仿宋_GB2312"/>
          <w:sz w:val="32"/>
          <w:szCs w:val="32"/>
        </w:rPr>
        <w:t>位。</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）本表统计区间为</w:t>
      </w:r>
      <w:r>
        <w:rPr>
          <w:rFonts w:eastAsia="仿宋_GB2312" w:hint="eastAsia"/>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891E64" w:rsidRDefault="00891E64" w:rsidP="00891E64">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sz w:val="32"/>
          <w:szCs w:val="32"/>
        </w:rPr>
        <w:t>二、填报项目</w:t>
      </w:r>
    </w:p>
    <w:p w:rsidR="00891E64" w:rsidRDefault="00891E64" w:rsidP="00891E64">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（一）企业名称</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按照市场监管行政部门核发的营业执照上的登记事项之一</w:t>
      </w:r>
      <w:r>
        <w:rPr>
          <w:rFonts w:eastAsia="仿宋_GB2312"/>
          <w:sz w:val="32"/>
          <w:szCs w:val="32"/>
        </w:rPr>
        <w:t>“</w:t>
      </w:r>
      <w:r>
        <w:rPr>
          <w:rFonts w:eastAsia="仿宋_GB2312"/>
          <w:sz w:val="32"/>
          <w:szCs w:val="32"/>
        </w:rPr>
        <w:t>名称</w:t>
      </w:r>
      <w:r>
        <w:rPr>
          <w:rFonts w:eastAsia="仿宋_GB2312"/>
          <w:sz w:val="32"/>
          <w:szCs w:val="32"/>
        </w:rPr>
        <w:t>”</w:t>
      </w:r>
      <w:r>
        <w:rPr>
          <w:rFonts w:eastAsia="仿宋_GB2312"/>
          <w:sz w:val="32"/>
          <w:szCs w:val="32"/>
        </w:rPr>
        <w:t>填写，不得填写简称。</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（二）注册地址</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按照市场监管行政部门核发的营业执照上的登记事项之一</w:t>
      </w:r>
      <w:r>
        <w:rPr>
          <w:rFonts w:eastAsia="仿宋_GB2312"/>
          <w:sz w:val="32"/>
          <w:szCs w:val="32"/>
        </w:rPr>
        <w:t>“</w:t>
      </w:r>
      <w:r>
        <w:rPr>
          <w:rFonts w:eastAsia="仿宋_GB2312"/>
          <w:sz w:val="32"/>
          <w:szCs w:val="32"/>
        </w:rPr>
        <w:t>住所</w:t>
      </w:r>
      <w:r>
        <w:rPr>
          <w:rFonts w:eastAsia="仿宋_GB2312"/>
          <w:sz w:val="32"/>
          <w:szCs w:val="32"/>
        </w:rPr>
        <w:t>”</w:t>
      </w:r>
      <w:r>
        <w:rPr>
          <w:rFonts w:eastAsia="仿宋_GB2312"/>
          <w:sz w:val="32"/>
          <w:szCs w:val="32"/>
        </w:rPr>
        <w:t>填写，不得擅自简化。</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（三）经营场所</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指企业法人从事印刷经营活动的场所。</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（四）主营业务</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指在日常经营活动中所产生总价值最高或业务量最大的生产经营业务项目。</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（五）职工人数</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指在企业工作并由企业支付工资（薪金）的各类人员数量（不包括临时聘用人员）。</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（六）财务指标</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根据报告年度区间财务审计报表和统计报表对应项目填报。</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资产总额：指企业拥有或控制的能以货币计量的经济资源。包括各种财产、债权和其他权利。资产按其流动性划分为流动资产、长期投资、固定资产、无形及递延资产和其他资产。</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pacing w:val="-8"/>
          <w:sz w:val="32"/>
          <w:szCs w:val="32"/>
        </w:rPr>
        <w:t>利润总额：指从营业收入中扣除成本消耗及营业税后的剩余总额。</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销售收入：指销售商品产品、自制半成品或提供劳务等而收到的货款、劳务价款或取得索取价款凭证确认的收入。</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主营业务销售额：指上栏中所选</w:t>
      </w:r>
      <w:r>
        <w:rPr>
          <w:rFonts w:eastAsia="仿宋_GB2312"/>
          <w:sz w:val="32"/>
          <w:szCs w:val="32"/>
        </w:rPr>
        <w:t>“</w:t>
      </w:r>
      <w:r>
        <w:rPr>
          <w:rFonts w:eastAsia="仿宋_GB2312"/>
          <w:sz w:val="32"/>
          <w:szCs w:val="32"/>
        </w:rPr>
        <w:t>主营业务</w:t>
      </w:r>
      <w:r>
        <w:rPr>
          <w:rFonts w:eastAsia="仿宋_GB2312"/>
          <w:sz w:val="32"/>
          <w:szCs w:val="32"/>
        </w:rPr>
        <w:t>”</w:t>
      </w:r>
      <w:r>
        <w:rPr>
          <w:rFonts w:eastAsia="仿宋_GB2312"/>
          <w:sz w:val="32"/>
          <w:szCs w:val="32"/>
        </w:rPr>
        <w:t>产品销售或提供劳务等而收到的货款、劳务价款或取得索取价款凭证确认的收入。</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对外直接投资额：指我国企业、团体等在国外及港澳台地区以现金、实物、无形资产等方式投资，并以控制国</w:t>
      </w:r>
      <w:r>
        <w:rPr>
          <w:rFonts w:eastAsia="仿宋_GB2312"/>
          <w:sz w:val="32"/>
          <w:szCs w:val="32"/>
        </w:rPr>
        <w:t>(</w:t>
      </w:r>
      <w:r>
        <w:rPr>
          <w:rFonts w:eastAsia="仿宋_GB2312"/>
          <w:sz w:val="32"/>
          <w:szCs w:val="32"/>
        </w:rPr>
        <w:t>境</w:t>
      </w:r>
      <w:r>
        <w:rPr>
          <w:rFonts w:eastAsia="仿宋_GB2312"/>
          <w:sz w:val="32"/>
          <w:szCs w:val="32"/>
        </w:rPr>
        <w:t>)</w:t>
      </w:r>
      <w:r>
        <w:rPr>
          <w:rFonts w:eastAsia="仿宋_GB2312"/>
          <w:sz w:val="32"/>
          <w:szCs w:val="32"/>
        </w:rPr>
        <w:t>外企业的经营管理权为核心的经济活动。对外直接投资的内涵主要体现在一经济体通过投资于另一经济体而实现其持久利益的目标。</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对外加工贸易额：指承接境外印刷品的总价值。</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工业总产值：指工业企业生产的以货币表现的工业产品总量，按不含增值税的现行价格计算。</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8.</w:t>
      </w:r>
      <w:r>
        <w:rPr>
          <w:rFonts w:eastAsia="仿宋_GB2312"/>
          <w:sz w:val="32"/>
          <w:szCs w:val="32"/>
        </w:rPr>
        <w:t>工业增加值：指工业企业以货币表现的工业生产活动的最终成果；是工业企业全部生产活动的总成果扣除了在生产过程中消耗或转移的物质产品和劳务价值后的余额；是工业企业生产过程中新增加的价值。</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9.</w:t>
      </w:r>
      <w:r>
        <w:rPr>
          <w:rFonts w:eastAsia="仿宋_GB2312"/>
          <w:sz w:val="32"/>
          <w:szCs w:val="32"/>
        </w:rPr>
        <w:t>工业总产出：指工业企业工业生产活动的总成果，是以货币表现的工业最终产品和提供工业劳务活动的总价值量，按工业总产值加上应交增值税计算。</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10.</w:t>
      </w:r>
      <w:r>
        <w:rPr>
          <w:rFonts w:eastAsia="仿宋_GB2312"/>
          <w:sz w:val="32"/>
          <w:szCs w:val="32"/>
        </w:rPr>
        <w:t>研发投入：指企业实际用于</w:t>
      </w:r>
      <w:hyperlink r:id="rId4" w:history="1">
        <w:r>
          <w:rPr>
            <w:rFonts w:eastAsia="仿宋_GB2312"/>
            <w:sz w:val="32"/>
            <w:szCs w:val="32"/>
          </w:rPr>
          <w:t>基础研究</w:t>
        </w:r>
      </w:hyperlink>
      <w:r>
        <w:rPr>
          <w:rFonts w:eastAsia="仿宋_GB2312"/>
          <w:sz w:val="32"/>
          <w:szCs w:val="32"/>
        </w:rPr>
        <w:t>、</w:t>
      </w:r>
      <w:hyperlink r:id="rId5" w:history="1">
        <w:r>
          <w:rPr>
            <w:rFonts w:eastAsia="仿宋_GB2312"/>
            <w:sz w:val="32"/>
            <w:szCs w:val="32"/>
          </w:rPr>
          <w:t>应用研究</w:t>
        </w:r>
      </w:hyperlink>
      <w:r>
        <w:rPr>
          <w:rFonts w:eastAsia="仿宋_GB2312"/>
          <w:sz w:val="32"/>
          <w:szCs w:val="32"/>
        </w:rPr>
        <w:t>和试验发展的经费支出。包括实际用于研究与试验发展活动的人员</w:t>
      </w:r>
      <w:hyperlink r:id="rId6" w:history="1">
        <w:r>
          <w:rPr>
            <w:rFonts w:eastAsia="仿宋_GB2312"/>
            <w:sz w:val="32"/>
            <w:szCs w:val="32"/>
          </w:rPr>
          <w:t>劳务费</w:t>
        </w:r>
      </w:hyperlink>
      <w:r>
        <w:rPr>
          <w:rFonts w:eastAsia="仿宋_GB2312"/>
          <w:sz w:val="32"/>
          <w:szCs w:val="32"/>
        </w:rPr>
        <w:t>、原</w:t>
      </w:r>
      <w:hyperlink r:id="rId7" w:history="1">
        <w:r>
          <w:rPr>
            <w:rFonts w:eastAsia="仿宋_GB2312"/>
            <w:sz w:val="32"/>
            <w:szCs w:val="32"/>
          </w:rPr>
          <w:t>材料费</w:t>
        </w:r>
      </w:hyperlink>
      <w:r>
        <w:rPr>
          <w:rFonts w:eastAsia="仿宋_GB2312"/>
          <w:sz w:val="32"/>
          <w:szCs w:val="32"/>
        </w:rPr>
        <w:t>、固定资产购建费、管理费及其他</w:t>
      </w:r>
      <w:hyperlink r:id="rId8" w:history="1">
        <w:r>
          <w:rPr>
            <w:rFonts w:eastAsia="仿宋_GB2312"/>
            <w:sz w:val="32"/>
            <w:szCs w:val="32"/>
          </w:rPr>
          <w:t>费用支出</w:t>
        </w:r>
      </w:hyperlink>
      <w:r>
        <w:rPr>
          <w:rFonts w:eastAsia="仿宋_GB2312"/>
          <w:sz w:val="32"/>
          <w:szCs w:val="32"/>
        </w:rPr>
        <w:t>。</w:t>
      </w:r>
      <w:r>
        <w:rPr>
          <w:rFonts w:eastAsia="仿宋_GB2312"/>
          <w:sz w:val="32"/>
          <w:szCs w:val="32"/>
        </w:rPr>
        <w:t> </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11.</w:t>
      </w:r>
      <w:r>
        <w:rPr>
          <w:rFonts w:eastAsia="仿宋_GB2312"/>
          <w:sz w:val="32"/>
          <w:szCs w:val="32"/>
        </w:rPr>
        <w:t>数字印刷部分总销售额：指采用生产型数字印刷机从事印刷经营活动的销售总收入。</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12.</w:t>
      </w:r>
      <w:r>
        <w:rPr>
          <w:rFonts w:eastAsia="仿宋_GB2312"/>
          <w:sz w:val="32"/>
          <w:szCs w:val="32"/>
        </w:rPr>
        <w:t>数字印刷部分总产值：指采用生产型数字印刷机从事印刷经营活动的工业总产值。</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13.</w:t>
      </w:r>
      <w:r>
        <w:rPr>
          <w:rFonts w:eastAsia="仿宋_GB2312"/>
          <w:sz w:val="32"/>
          <w:szCs w:val="32"/>
        </w:rPr>
        <w:t>社会捐赠总额：指自然人、法人或其他社会团体出于爱心，自愿无偿地向公益性社会团体、公益性非营利单位、某个群体或个人捐赠的财、物金额总和。</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（七）兼营数字印刷企业</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指已取得出版物、包装装潢印刷品或者其他印刷品印刷经营许可证的企业在原批准范围内同时开展数字印刷经营活动的企业。</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（八）产品产量</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指印刷生产的符合产品质量要求的实物数量。黑白是指上非彩色印刷机的印刷量，彩色是指上彩色印刷机的印刷量。</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lastRenderedPageBreak/>
        <w:t>（九）用纸量</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指印刷用纸数量，包含平板纸和卷筒纸。</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（十）部分重点出版物</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党和国家重要文件文献：指党和国家的决议、决定、会议公报，颁布的法律、法规，重要国家领导人的报告、讲话、文稿、著作等。如《中国共产党章程》等。</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重大主题出版物：指围绕国家经济、政治、文化、社会、生态文明等方面的工作大局，就党和国家发生的一些重大事件、重大活动、重大题材、重大理论问题等为主题的出版物，如《全面从严治党面对面》《习近平的七年知青岁月》等。</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重要报纸期刊：指服务各级党政军机关的报纸期刊，如《人民日报》《北京日报》《求是》《前线》等。</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少儿出版物：指以少年儿童为服务对象，印制工艺较高的出版物，如《世界儿童文学典藏馆》《儿童百科全书》等。</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中小学教科书：指各地供中小学生使用的教学用书。</w:t>
      </w:r>
    </w:p>
    <w:p w:rsidR="00891E64" w:rsidRDefault="00891E64" w:rsidP="00891E64">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（十一）生产设备</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印刷设备的名称请从以下项目中选择填写：单张纸胶印机、卷筒纸印刷机、柔性版印刷机、丝网印刷机、凹版印刷机、凸版印刷机、名片印刷机、标签印刷机、商用表格印刷机、不干胶印刷机、制卡设备、信封机、移印机、热转移印刷机、水松纸印刷机、印铁机。</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生产型数字印刷机的名称请从《生产型数字印刷机参考目录（</w:t>
      </w:r>
      <w:r>
        <w:rPr>
          <w:rFonts w:eastAsia="仿宋_GB2312"/>
          <w:sz w:val="32"/>
          <w:szCs w:val="32"/>
        </w:rPr>
        <w:t>2017</w:t>
      </w:r>
      <w:r>
        <w:rPr>
          <w:rFonts w:eastAsia="仿宋_GB2312"/>
          <w:sz w:val="32"/>
          <w:szCs w:val="32"/>
        </w:rPr>
        <w:t>年）》中选择填写。</w:t>
      </w:r>
      <w:r>
        <w:rPr>
          <w:rFonts w:eastAsia="仿宋_GB2312"/>
          <w:sz w:val="32"/>
          <w:szCs w:val="32"/>
        </w:rPr>
        <w:t xml:space="preserve">                                                                                                              </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其他设备的名称请从以下项目中选择填写：打印机、激光照排机、直接制版系统、打样机、数码打样系统、喷绘机、晒版机、显影机、折页机、配页机、胶订机、骑马装订机、锁线机、平装胶订胶动线、覆膜机、压纹机、上光机、复合机、覆面机、烫背机、切纸机、三面刀、糊盒机、分切机、模切机、烫金机、涂布机、数纸及分摞机、复卷机、制袋机、瓦楞纸机。</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开度：十六开、八开、四开、对开、全张。</w:t>
      </w:r>
    </w:p>
    <w:p w:rsidR="00891E64" w:rsidRDefault="00891E64" w:rsidP="00891E64">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单双面：单面、双面。</w:t>
      </w:r>
    </w:p>
    <w:p w:rsidR="00891E64" w:rsidRDefault="00891E64" w:rsidP="00891E64">
      <w:pPr>
        <w:adjustRightInd w:val="0"/>
        <w:snapToGrid w:val="0"/>
        <w:spacing w:line="560" w:lineRule="exact"/>
        <w:ind w:firstLineChars="200" w:firstLine="640"/>
        <w:rPr>
          <w:rFonts w:ascii="仿宋_GB2312" w:eastAsia="仿宋_GB2312" w:hAnsi="仿宋_GB2312" w:cs="仿宋_GB2312" w:hint="eastAsia"/>
          <w:sz w:val="32"/>
          <w:szCs w:val="32"/>
        </w:rPr>
      </w:pPr>
      <w:r>
        <w:rPr>
          <w:rFonts w:eastAsia="仿宋_GB2312"/>
          <w:sz w:val="32"/>
          <w:szCs w:val="32"/>
        </w:rPr>
        <w:t>6.</w:t>
      </w:r>
      <w:r>
        <w:rPr>
          <w:rFonts w:eastAsia="仿宋_GB2312"/>
          <w:sz w:val="32"/>
          <w:szCs w:val="32"/>
        </w:rPr>
        <w:t>色数：单色、双色、三色、四色、五色、六色、七色、八色及以上。</w:t>
      </w:r>
    </w:p>
    <w:p w:rsidR="00891E64" w:rsidRDefault="00891E64" w:rsidP="00891E64">
      <w:pPr>
        <w:adjustRightInd w:val="0"/>
        <w:snapToGrid w:val="0"/>
        <w:spacing w:line="560" w:lineRule="exact"/>
        <w:ind w:firstLineChars="200" w:firstLine="640"/>
        <w:rPr>
          <w:rFonts w:ascii="仿宋_GB2312" w:eastAsia="仿宋_GB2312" w:hAnsi="仿宋_GB2312" w:cs="仿宋_GB2312" w:hint="eastAsia"/>
          <w:sz w:val="32"/>
          <w:szCs w:val="32"/>
        </w:rPr>
      </w:pPr>
    </w:p>
    <w:p w:rsidR="00891E64" w:rsidRDefault="00891E64" w:rsidP="00891E64">
      <w:pPr>
        <w:ind w:firstLine="640"/>
      </w:pPr>
    </w:p>
    <w:p w:rsidR="00442955" w:rsidRDefault="00442955" w:rsidP="00843EB3">
      <w:pPr>
        <w:ind w:firstLine="640"/>
      </w:pPr>
    </w:p>
    <w:sectPr w:rsidR="00442955">
      <w:footerReference w:type="default" r:id="rId9"/>
      <w:pgSz w:w="11906" w:h="16838"/>
      <w:pgMar w:top="2098" w:right="1418" w:bottom="1077" w:left="1474" w:header="851" w:footer="1247"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40BF">
    <w:pPr>
      <w:pStyle w:val="a4"/>
      <w:jc w:val="right"/>
      <w:rPr>
        <w:rFonts w:ascii="方正小标宋简体" w:eastAsia="方正小标宋简体" w:hint="eastAsia"/>
        <w:sz w:val="28"/>
        <w:szCs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filled="f" stroked="f" strokeweight="1.25pt">
          <v:textbox style="mso-fit-shape-to-text:t" inset="0,0,0,0">
            <w:txbxContent>
              <w:p w:rsidR="00000000" w:rsidRDefault="001040BF">
                <w:pPr>
                  <w:pStyle w:val="a4"/>
                </w:pPr>
                <w:r>
                  <w:fldChar w:fldCharType="begin"/>
                </w:r>
                <w:r>
                  <w:instrText xml:space="preserve"> PAGE  \* MERGEFORMAT </w:instrText>
                </w:r>
                <w:r>
                  <w:fldChar w:fldCharType="separate"/>
                </w:r>
                <w:r w:rsidR="00891E64">
                  <w:rPr>
                    <w:noProof/>
                  </w:rPr>
                  <w:t>2</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91E64"/>
    <w:rsid w:val="001040BF"/>
    <w:rsid w:val="001215BB"/>
    <w:rsid w:val="001B3279"/>
    <w:rsid w:val="00327749"/>
    <w:rsid w:val="003A659C"/>
    <w:rsid w:val="00442955"/>
    <w:rsid w:val="005B1E51"/>
    <w:rsid w:val="00843EB3"/>
    <w:rsid w:val="00855752"/>
    <w:rsid w:val="00891E64"/>
    <w:rsid w:val="00C45F82"/>
    <w:rsid w:val="00C53AED"/>
    <w:rsid w:val="00D95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1E64"/>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5B1E51"/>
    <w:pPr>
      <w:widowControl/>
      <w:spacing w:before="100" w:beforeAutospacing="1" w:after="100" w:afterAutospacing="1" w:line="640" w:lineRule="exact"/>
      <w:outlineLvl w:val="0"/>
    </w:pPr>
    <w:rPr>
      <w:rFonts w:ascii="仿宋_GB2312" w:eastAsia="仿宋_GB2312" w:hAnsi="仿宋_GB2312" w:cs="仿宋_GB2312"/>
      <w:bCs/>
      <w:kern w:val="36"/>
      <w:sz w:val="32"/>
      <w:szCs w:val="32"/>
    </w:rPr>
  </w:style>
  <w:style w:type="paragraph" w:styleId="2">
    <w:name w:val="heading 2"/>
    <w:basedOn w:val="a"/>
    <w:next w:val="a"/>
    <w:link w:val="2Char"/>
    <w:uiPriority w:val="9"/>
    <w:unhideWhenUsed/>
    <w:qFormat/>
    <w:rsid w:val="005B1E51"/>
    <w:pPr>
      <w:keepNext/>
      <w:keepLines/>
      <w:spacing w:line="640" w:lineRule="exact"/>
      <w:jc w:val="left"/>
      <w:outlineLvl w:val="1"/>
    </w:pPr>
    <w:rPr>
      <w:rFonts w:ascii="黑体" w:eastAsia="黑体" w:hAnsi="黑体" w:cs="黑体"/>
      <w:b/>
      <w:bCs/>
      <w:sz w:val="32"/>
      <w:szCs w:val="32"/>
    </w:rPr>
  </w:style>
  <w:style w:type="paragraph" w:styleId="3">
    <w:name w:val="heading 3"/>
    <w:basedOn w:val="a"/>
    <w:next w:val="a"/>
    <w:link w:val="3Char"/>
    <w:uiPriority w:val="9"/>
    <w:unhideWhenUsed/>
    <w:qFormat/>
    <w:rsid w:val="005B1E51"/>
    <w:pPr>
      <w:keepNext/>
      <w:keepLines/>
      <w:spacing w:line="560" w:lineRule="exact"/>
      <w:ind w:firstLineChars="200" w:firstLine="200"/>
      <w:jc w:val="left"/>
      <w:outlineLvl w:val="2"/>
    </w:pPr>
    <w:rPr>
      <w:rFonts w:ascii="楷体" w:eastAsia="楷体" w:hAnsi="楷体" w:cs="楷体"/>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5B1E51"/>
    <w:rPr>
      <w:rFonts w:ascii="黑体" w:eastAsia="黑体" w:hAnsi="黑体" w:cs="黑体"/>
      <w:b/>
      <w:bCs/>
      <w:sz w:val="32"/>
      <w:szCs w:val="32"/>
    </w:rPr>
  </w:style>
  <w:style w:type="character" w:customStyle="1" w:styleId="1Char">
    <w:name w:val="标题 1 Char"/>
    <w:basedOn w:val="a1"/>
    <w:link w:val="1"/>
    <w:uiPriority w:val="9"/>
    <w:rsid w:val="005B1E51"/>
    <w:rPr>
      <w:rFonts w:ascii="仿宋_GB2312" w:eastAsia="仿宋_GB2312" w:hAnsi="仿宋_GB2312" w:cs="仿宋_GB2312"/>
      <w:bCs/>
      <w:kern w:val="36"/>
      <w:sz w:val="32"/>
      <w:szCs w:val="32"/>
    </w:rPr>
  </w:style>
  <w:style w:type="character" w:customStyle="1" w:styleId="3Char">
    <w:name w:val="标题 3 Char"/>
    <w:basedOn w:val="a1"/>
    <w:link w:val="3"/>
    <w:uiPriority w:val="9"/>
    <w:rsid w:val="005B1E51"/>
    <w:rPr>
      <w:rFonts w:ascii="楷体" w:eastAsia="楷体" w:hAnsi="楷体" w:cs="楷体"/>
      <w:b/>
      <w:bCs/>
      <w:sz w:val="30"/>
      <w:szCs w:val="30"/>
    </w:rPr>
  </w:style>
  <w:style w:type="paragraph" w:styleId="a0">
    <w:name w:val="Title"/>
    <w:basedOn w:val="a"/>
    <w:next w:val="a"/>
    <w:link w:val="Char"/>
    <w:uiPriority w:val="10"/>
    <w:qFormat/>
    <w:rsid w:val="005B1E51"/>
    <w:pPr>
      <w:spacing w:line="640" w:lineRule="exact"/>
      <w:jc w:val="center"/>
    </w:pPr>
    <w:rPr>
      <w:rFonts w:ascii="黑体" w:eastAsia="黑体" w:hAnsi="黑体" w:cs="黑体"/>
      <w:b/>
      <w:bCs/>
      <w:sz w:val="32"/>
      <w:szCs w:val="32"/>
    </w:rPr>
  </w:style>
  <w:style w:type="character" w:customStyle="1" w:styleId="Char">
    <w:name w:val="标题 Char"/>
    <w:basedOn w:val="a1"/>
    <w:link w:val="a0"/>
    <w:uiPriority w:val="10"/>
    <w:rsid w:val="005B1E51"/>
    <w:rPr>
      <w:rFonts w:ascii="黑体" w:eastAsia="黑体" w:hAnsi="黑体" w:cs="黑体"/>
      <w:b/>
      <w:bCs/>
      <w:sz w:val="32"/>
      <w:szCs w:val="32"/>
    </w:rPr>
  </w:style>
  <w:style w:type="paragraph" w:styleId="a4">
    <w:name w:val="footer"/>
    <w:basedOn w:val="a"/>
    <w:link w:val="Char0"/>
    <w:uiPriority w:val="99"/>
    <w:qFormat/>
    <w:rsid w:val="00891E64"/>
    <w:pPr>
      <w:tabs>
        <w:tab w:val="center" w:pos="4153"/>
        <w:tab w:val="right" w:pos="8306"/>
      </w:tabs>
      <w:snapToGrid w:val="0"/>
      <w:jc w:val="left"/>
    </w:pPr>
    <w:rPr>
      <w:sz w:val="18"/>
    </w:rPr>
  </w:style>
  <w:style w:type="character" w:customStyle="1" w:styleId="Char0">
    <w:name w:val="页脚 Char"/>
    <w:basedOn w:val="a1"/>
    <w:link w:val="a4"/>
    <w:uiPriority w:val="99"/>
    <w:rsid w:val="00891E64"/>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4%B9%E7%94%A8%E6%94%AF%E5%87%BA/1531167" TargetMode="External"/><Relationship Id="rId3" Type="http://schemas.openxmlformats.org/officeDocument/2006/relationships/webSettings" Target="webSettings.xml"/><Relationship Id="rId7" Type="http://schemas.openxmlformats.org/officeDocument/2006/relationships/hyperlink" Target="https://baike.baidu.com/item/%E6%9D%90%E6%96%99%E8%B4%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A%B3%E5%8A%A1%E8%B4%B9/4080148" TargetMode="External"/><Relationship Id="rId11" Type="http://schemas.openxmlformats.org/officeDocument/2006/relationships/theme" Target="theme/theme1.xml"/><Relationship Id="rId5" Type="http://schemas.openxmlformats.org/officeDocument/2006/relationships/hyperlink" Target="https://baike.baidu.com/item/%E5%BA%94%E7%94%A8%E7%A0%94%E7%A9%B6/1719915" TargetMode="External"/><Relationship Id="rId10" Type="http://schemas.openxmlformats.org/officeDocument/2006/relationships/fontTable" Target="fontTable.xml"/><Relationship Id="rId4" Type="http://schemas.openxmlformats.org/officeDocument/2006/relationships/hyperlink" Target="https://baike.baidu.com/item/%E5%9F%BA%E7%A1%80%E7%A0%94%E7%A9%B6" TargetMode="Externa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姚国健</dc:creator>
  <cp:lastModifiedBy>姚国健</cp:lastModifiedBy>
  <cp:revision>1</cp:revision>
  <dcterms:created xsi:type="dcterms:W3CDTF">2022-03-31T06:07:00Z</dcterms:created>
  <dcterms:modified xsi:type="dcterms:W3CDTF">2022-03-31T06:08:00Z</dcterms:modified>
</cp:coreProperties>
</file>