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8F" w:rsidRPr="00B1368F" w:rsidRDefault="00B1368F" w:rsidP="00B1368F">
      <w:pPr>
        <w:widowControl/>
        <w:shd w:val="clear" w:color="auto" w:fill="FFFFFF"/>
        <w:spacing w:line="480" w:lineRule="auto"/>
        <w:jc w:val="center"/>
        <w:rPr>
          <w:rFonts w:ascii="Arial" w:eastAsia="微软雅黑" w:hAnsi="Arial" w:cs="Arial"/>
          <w:b/>
          <w:bCs/>
          <w:color w:val="333333"/>
          <w:kern w:val="0"/>
          <w:sz w:val="36"/>
          <w:szCs w:val="36"/>
        </w:rPr>
      </w:pPr>
      <w:r w:rsidRPr="00B1368F">
        <w:rPr>
          <w:rFonts w:ascii="Arial" w:eastAsia="微软雅黑" w:hAnsi="Arial" w:cs="Arial"/>
          <w:b/>
          <w:bCs/>
          <w:color w:val="333333"/>
          <w:kern w:val="0"/>
          <w:sz w:val="36"/>
          <w:szCs w:val="36"/>
        </w:rPr>
        <w:t>市科技局关于预征集规模以上企业</w:t>
      </w:r>
      <w:r w:rsidRPr="00B1368F">
        <w:rPr>
          <w:rFonts w:ascii="Arial" w:eastAsia="微软雅黑" w:hAnsi="Arial" w:cs="Arial"/>
          <w:b/>
          <w:bCs/>
          <w:color w:val="333333"/>
          <w:kern w:val="0"/>
          <w:sz w:val="36"/>
          <w:szCs w:val="36"/>
        </w:rPr>
        <w:t>2022</w:t>
      </w:r>
      <w:r w:rsidRPr="00B1368F">
        <w:rPr>
          <w:rFonts w:ascii="Arial" w:eastAsia="微软雅黑" w:hAnsi="Arial" w:cs="Arial"/>
          <w:b/>
          <w:bCs/>
          <w:color w:val="333333"/>
          <w:kern w:val="0"/>
          <w:sz w:val="36"/>
          <w:szCs w:val="36"/>
        </w:rPr>
        <w:t>年天津市研发投入后补助项目的通知</w:t>
      </w:r>
    </w:p>
    <w:p w:rsidR="00B1368F" w:rsidRPr="00B1368F" w:rsidRDefault="00B1368F" w:rsidP="00B1368F">
      <w:pPr>
        <w:widowControl/>
        <w:shd w:val="clear" w:color="auto" w:fill="FFFFFF"/>
        <w:spacing w:line="360" w:lineRule="atLeast"/>
        <w:jc w:val="center"/>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  </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为深入实施创新驱动发展战略，贯彻落实科技创新“十四五”规划和三年行动计划，引导企业加大研发投入，提升创新能力，强化创新主体地位，促进我市科技创新实力快速提升，加快推进我市企业高质量发展，根据2022年企业研发投入后补助项目有关工作进度安排，现面向规模以上企业启动2022年天津市企业研发投入后补助项目预征集工作。规模以下企业的申报将在下半年一次性申报完成，届时请关注市科技局官方网站的申报通知。</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一、申报条件</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此次预征集仅限规模以上企业申报，未通过本次预申报的规模以上企业下半年不再受理申报。</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1.天津市内注册，具有独立法人资格企业或纳入国家统计局联网直报平台填报研发统计报表的非法人组织；</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2.未被列入失信行为记录；</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3.企业上一年度所得税汇算清缴已享受研发费用加计扣除政策；</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4.如企业是纳入国家科技统计调查的企业，在满足本条上述三个条件的基础上，还须按照统计部门要求如实填报企业上一年度研发统计年报报表。</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二、择优补助原则和补助标准</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（一）择优补助原则（确定是否能够获得补助）</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1.根据年度资金预算总额，规模以上企业按照企业研发投入强度及综合经济贡献指标综合排名情况进行排序，择优给予支持；</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2.2022年通过评价的“雏鹰”企业不参加排序可直接进行补助；</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lastRenderedPageBreak/>
        <w:t>（二）补助标准（按照择优原则进入补助清单后，根据补助标准确定可以获得的补助额）</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以企业2021年度所得税汇算清缴向税务部门自行申报的享受税前加计扣除的研发费用数额为补助基数。</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1.基础补助额</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（1）2021年首次通过认定的国家高新技术企业，按照企业2021年度（即认定当年）研发费用的5%给予补助；</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（2）2022年通过评价的“雏鹰”企业，按照企业2021年度研发费用的5%给予补助，同一企业只能享受一次；</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注：同一企业只能按照“雏鹰”企业的身份享受一次5%的比例的支持。若2022年通过“雏鹰”企业评价且同时2021年首次认定为国家高新技术的企业，对于2021年度已按照“雏鹰”企业享受过5%比例支持的，该企业本年度可默认按照2022年“雏鹰”企业</w:t>
      </w:r>
      <w:proofErr w:type="gramStart"/>
      <w:r w:rsidRPr="00B1368F">
        <w:rPr>
          <w:rFonts w:ascii="微软雅黑" w:eastAsia="微软雅黑" w:hAnsi="微软雅黑" w:cs="宋体" w:hint="eastAsia"/>
          <w:color w:val="313131"/>
          <w:kern w:val="0"/>
          <w:szCs w:val="21"/>
        </w:rPr>
        <w:t>不</w:t>
      </w:r>
      <w:proofErr w:type="gramEnd"/>
      <w:r w:rsidRPr="00B1368F">
        <w:rPr>
          <w:rFonts w:ascii="微软雅黑" w:eastAsia="微软雅黑" w:hAnsi="微软雅黑" w:cs="宋体" w:hint="eastAsia"/>
          <w:color w:val="313131"/>
          <w:kern w:val="0"/>
          <w:szCs w:val="21"/>
        </w:rPr>
        <w:t>排序，按照2.5%或1.5%比例享受补助支持。或单独申请按照2021年首次认定为国家高新技术企业参加排序，择优后可按照5%比例享受补助支持。</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（3）“独角兽”企业、科技领军企业、科技领军培育企业、2022年通过评价的“瞪羚”企业和国家科技型中小企业，按照企业2021度研发费用的2.5%给予补助；</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（4）其他企业按照企业2021年度研发费用的1.5%给予补助。</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企业最终获得支持以符合上述条件的最高比例给予基础补助额支持。</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2.增量补助额</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（1）当上一年企业研发费用较前年增长时，增量补助额=基础补助额×上一年企业研发费用的增长率。当增长率大于50%时，按50%计算；</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lastRenderedPageBreak/>
        <w:t>（2）当上一年企业研发费用较前年下降时，增量补助额=基础补助额×上一年企业研发费用增长率×2。当增长率小于－50%时，按－50%计算。增量补助额为负数。</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3.最终补助额</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企业获得的最终补助额=基础补助额+增量补助额。单个企业获得的最终补助额不超过500万元。</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三、申报流程</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按照我市加快推进一体化在线政务服务平台建设的有关要求，天津市科技计划项目管理信息系统（https://xmgl.kxjs.tj.gov.cn）统一使用“天津市统一身份认证平台”进行用户注册与登录。如果已经在津心办APP、天津市网上办事大厅注册过个人用户，可以直接使用，不需要重复注册。通过“天津市统一身份认证平台”登录成功后，仍进入原系统页面。</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（一）单位注册</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项目单位用户前往“天津市统一身份认证平台”的“法人用户”入口进行登录。新用户注册，请在“天津市统一身份认证平台”填报注册信息后，需要局级主管部门（直属局级单位、区科技局）进入天津市科技计划项目管理信息系统审核通过后才能使用。</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（二）项目负责人注册</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项目负责人用户前往“天津市统一身份认证平台”的“个人用户”入口进行登录。新用户注册，请在“天津市统一身份认证平台”填报注册信息后，需要项目单位用户进入天津市科技计划项目管理信息系统启用才能使用。</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（三）申请人在线申报及上传附件</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申请人登录系统创建项目申请书后，在计划类别栏和项目类别栏分别选择“技术创新引导专项（基金）”和“企业研发投入后补助”，合理选择企业所属的“重点领域”（可参考申报我局重点研发计划科技支撑重点项目填报的重点领域），然后在线填写申请书；基本</w:t>
      </w:r>
      <w:r w:rsidRPr="00B1368F">
        <w:rPr>
          <w:rFonts w:ascii="微软雅黑" w:eastAsia="微软雅黑" w:hAnsi="微软雅黑" w:cs="宋体" w:hint="eastAsia"/>
          <w:color w:val="313131"/>
          <w:kern w:val="0"/>
          <w:szCs w:val="21"/>
        </w:rPr>
        <w:lastRenderedPageBreak/>
        <w:t>情况表中“2021年企业汇算清缴享受加计扣除的研发费用额”，由企业财务部门据实填写企业2021年度可加计扣除研发费金额，该数据在企业完成汇算清缴后可进行修改。</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本次预申报无需填写“综合经济贡献指标”及附件材料。所需上传附件如下：</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1.企业2021年度研发支出辅助</w:t>
      </w:r>
      <w:proofErr w:type="gramStart"/>
      <w:r w:rsidRPr="00B1368F">
        <w:rPr>
          <w:rFonts w:ascii="微软雅黑" w:eastAsia="微软雅黑" w:hAnsi="微软雅黑" w:cs="宋体" w:hint="eastAsia"/>
          <w:color w:val="313131"/>
          <w:kern w:val="0"/>
          <w:szCs w:val="21"/>
        </w:rPr>
        <w:t>账</w:t>
      </w:r>
      <w:proofErr w:type="gramEnd"/>
      <w:r w:rsidRPr="00B1368F">
        <w:rPr>
          <w:rFonts w:ascii="微软雅黑" w:eastAsia="微软雅黑" w:hAnsi="微软雅黑" w:cs="宋体" w:hint="eastAsia"/>
          <w:color w:val="313131"/>
          <w:kern w:val="0"/>
          <w:szCs w:val="21"/>
        </w:rPr>
        <w:t>汇总表；</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2.企业营业执照复印件（注：系统填报的基本情况表中“企业统一社会信用代码”必须与该附件统一社会信用代码完全一致，18位）；</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纳入国家统计局联网直报平台的企业，符合研发年报调查范围的企业，还须提供国家统计局联网直报平台上填报的2021年《企业研究开发项目情况》（107-1表）、《企业研究开发活动及相关情况》（107-2表）。纳入国家统计局联网直报平台但在国家统计局联网直报平台上没有107-1表、107-2表的请提供情况说明。未纳入国家统计局联网直报平台的其他</w:t>
      </w:r>
      <w:proofErr w:type="gramStart"/>
      <w:r w:rsidRPr="00B1368F">
        <w:rPr>
          <w:rFonts w:ascii="微软雅黑" w:eastAsia="微软雅黑" w:hAnsi="微软雅黑" w:cs="宋体" w:hint="eastAsia"/>
          <w:color w:val="313131"/>
          <w:kern w:val="0"/>
          <w:szCs w:val="21"/>
        </w:rPr>
        <w:t>规</w:t>
      </w:r>
      <w:proofErr w:type="gramEnd"/>
      <w:r w:rsidRPr="00B1368F">
        <w:rPr>
          <w:rFonts w:ascii="微软雅黑" w:eastAsia="微软雅黑" w:hAnsi="微软雅黑" w:cs="宋体" w:hint="eastAsia"/>
          <w:color w:val="313131"/>
          <w:kern w:val="0"/>
          <w:szCs w:val="21"/>
        </w:rPr>
        <w:t>上企业不用提供该附件。</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（四）申报书审核</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1.单位审核：申请单位使用单位账号进行审核，并在线提交至局级主管部门，申报系统状态显示为“单位审核通过”；</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2.局级主管部门审核：局级主管部门需使用部门账号对项目进行审核，并在线提交至市科学技术局，申报系统状态显示为“局级主管部门审核通过”；</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3.市科技局审核：市科技局审核通过后申报系统状态显示为“市科技局审核通过”。如逾期未显示“市科技局审核通过”，将不再受理、审查。</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四、申报单位信用承诺</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申报单位对数据和申报材料的真实性做出承诺并承担相应责任。对于弄虚作假虚报上述数据、涉嫌骗取补助资金的，一经查实，取消补助资格，全额追回已发放补助资金，并按</w:t>
      </w:r>
      <w:r w:rsidRPr="00B1368F">
        <w:rPr>
          <w:rFonts w:ascii="微软雅黑" w:eastAsia="微软雅黑" w:hAnsi="微软雅黑" w:cs="宋体" w:hint="eastAsia"/>
          <w:color w:val="313131"/>
          <w:kern w:val="0"/>
          <w:szCs w:val="21"/>
        </w:rPr>
        <w:lastRenderedPageBreak/>
        <w:t>照国家和我市相关规定纳入失信行为记录，采取相应限制措施；对于涉及违法的企业，追究其法律责任。</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五、申报时间</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1.项目申报。申报时间为2022年3月9日至4月8日，在此时间内，项目需完成“申请书提交”和“申报单位审核通过”。</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2.局级主管部门审查。4月19日（7个工作日）完成局级主管部门审查。在此时间内，项目需完成“局级主管部门审查通过”。建议各申请人及申请单位及时与局级主管部门做好沟通。</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3.市科技局审查。4月28日（7个工作日）完成审查。在此时间内，如果项目被审查驳回，修改后需再次经申报单位和局级主管部门两级审核；如果项目通过审查，项目状态栏应显示为“市科技局审查通过”。该阶段，每个申报项目应在驳回后的3个工作日内完成修改并成功提交至市科学技术局再次进行审查。如逾期，则不再受理、审查。</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此次申请暂不提交纸质材料。</w:t>
      </w:r>
    </w:p>
    <w:p w:rsidR="00B1368F" w:rsidRPr="00B1368F" w:rsidRDefault="00B1368F" w:rsidP="00B1368F">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六、相关联系方式</w:t>
      </w:r>
    </w:p>
    <w:p w:rsidR="00B1368F" w:rsidRPr="00B1368F" w:rsidRDefault="00B1368F" w:rsidP="00282CFB">
      <w:pPr>
        <w:widowControl/>
        <w:shd w:val="clear" w:color="auto" w:fill="FFFFFF"/>
        <w:spacing w:line="525" w:lineRule="atLeast"/>
        <w:ind w:firstLine="480"/>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自通知发布之日起至2022年4月28日17点前（公休日除外）开通申报咨询电话或电子邮箱，具体如下：</w:t>
      </w:r>
    </w:p>
    <w:tbl>
      <w:tblPr>
        <w:tblpPr w:leftFromText="180" w:rightFromText="180" w:vertAnchor="text" w:horzAnchor="page" w:tblpX="1891" w:tblpY="70"/>
        <w:tblW w:w="8214"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701"/>
        <w:gridCol w:w="1985"/>
        <w:gridCol w:w="1701"/>
        <w:gridCol w:w="992"/>
        <w:gridCol w:w="2835"/>
      </w:tblGrid>
      <w:tr w:rsidR="00282CFB" w:rsidRPr="00B1368F" w:rsidTr="00282CFB">
        <w:trPr>
          <w:trHeight w:val="310"/>
        </w:trPr>
        <w:tc>
          <w:tcPr>
            <w:tcW w:w="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hint="eastAsia"/>
                <w:kern w:val="0"/>
                <w:sz w:val="22"/>
                <w:szCs w:val="24"/>
              </w:rPr>
            </w:pPr>
            <w:r w:rsidRPr="00B1368F">
              <w:rPr>
                <w:rFonts w:ascii="宋体" w:eastAsia="宋体" w:hAnsi="宋体" w:cs="宋体"/>
                <w:kern w:val="0"/>
                <w:sz w:val="22"/>
                <w:szCs w:val="24"/>
              </w:rPr>
              <w:t>序号</w:t>
            </w:r>
          </w:p>
        </w:tc>
        <w:tc>
          <w:tcPr>
            <w:tcW w:w="198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咨询内容</w:t>
            </w:r>
          </w:p>
        </w:tc>
        <w:tc>
          <w:tcPr>
            <w:tcW w:w="1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接受咨询部门</w:t>
            </w:r>
          </w:p>
        </w:tc>
        <w:tc>
          <w:tcPr>
            <w:tcW w:w="992"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联系人</w:t>
            </w:r>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电话或电子邮箱</w:t>
            </w:r>
          </w:p>
        </w:tc>
      </w:tr>
      <w:tr w:rsidR="00282CFB" w:rsidRPr="00B1368F" w:rsidTr="00282CFB">
        <w:trPr>
          <w:trHeight w:val="621"/>
        </w:trPr>
        <w:tc>
          <w:tcPr>
            <w:tcW w:w="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1</w:t>
            </w:r>
          </w:p>
        </w:tc>
        <w:tc>
          <w:tcPr>
            <w:tcW w:w="198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咨询与解读</w:t>
            </w:r>
          </w:p>
        </w:tc>
        <w:tc>
          <w:tcPr>
            <w:tcW w:w="1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天津市科技局法规处</w:t>
            </w:r>
          </w:p>
        </w:tc>
        <w:tc>
          <w:tcPr>
            <w:tcW w:w="992"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徐琳</w:t>
            </w:r>
            <w:proofErr w:type="gramStart"/>
            <w:r w:rsidRPr="00B1368F">
              <w:rPr>
                <w:rFonts w:ascii="宋体" w:eastAsia="宋体" w:hAnsi="宋体" w:cs="宋体"/>
                <w:kern w:val="0"/>
                <w:sz w:val="22"/>
                <w:szCs w:val="24"/>
              </w:rPr>
              <w:t>琳</w:t>
            </w:r>
            <w:proofErr w:type="gramEnd"/>
          </w:p>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孔</w:t>
            </w:r>
            <w:r w:rsidRPr="00B1368F">
              <w:rPr>
                <w:rFonts w:ascii="宋体" w:eastAsia="宋体" w:hAnsi="宋体" w:cs="宋体"/>
                <w:kern w:val="0"/>
                <w:sz w:val="22"/>
                <w:szCs w:val="24"/>
              </w:rPr>
              <w:t> </w:t>
            </w:r>
            <w:r w:rsidRPr="00B1368F">
              <w:rPr>
                <w:rFonts w:ascii="宋体" w:eastAsia="宋体" w:hAnsi="宋体" w:cs="宋体"/>
                <w:kern w:val="0"/>
                <w:sz w:val="22"/>
                <w:szCs w:val="24"/>
              </w:rPr>
              <w:t> </w:t>
            </w:r>
            <w:r w:rsidRPr="00B1368F">
              <w:rPr>
                <w:rFonts w:ascii="宋体" w:eastAsia="宋体" w:hAnsi="宋体" w:cs="宋体"/>
                <w:kern w:val="0"/>
                <w:sz w:val="22"/>
                <w:szCs w:val="24"/>
              </w:rPr>
              <w:t>林</w:t>
            </w:r>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wordWrap w:val="0"/>
              <w:jc w:val="left"/>
              <w:rPr>
                <w:rFonts w:ascii="宋体" w:eastAsia="宋体" w:hAnsi="宋体" w:cs="宋体"/>
                <w:kern w:val="0"/>
                <w:sz w:val="22"/>
                <w:szCs w:val="24"/>
              </w:rPr>
            </w:pPr>
            <w:r w:rsidRPr="00B1368F">
              <w:rPr>
                <w:rFonts w:ascii="宋体" w:eastAsia="宋体" w:hAnsi="宋体" w:cs="宋体"/>
                <w:kern w:val="0"/>
                <w:sz w:val="22"/>
                <w:szCs w:val="24"/>
              </w:rPr>
              <w:t>022-58832952</w:t>
            </w:r>
          </w:p>
          <w:p w:rsidR="00282CFB" w:rsidRPr="00B1368F" w:rsidRDefault="00282CFB" w:rsidP="00282CFB">
            <w:pPr>
              <w:widowControl/>
              <w:wordWrap w:val="0"/>
              <w:jc w:val="left"/>
              <w:rPr>
                <w:rFonts w:ascii="宋体" w:eastAsia="宋体" w:hAnsi="宋体" w:cs="宋体"/>
                <w:kern w:val="0"/>
                <w:sz w:val="22"/>
                <w:szCs w:val="24"/>
              </w:rPr>
            </w:pPr>
            <w:r w:rsidRPr="00B1368F">
              <w:rPr>
                <w:rFonts w:ascii="宋体" w:eastAsia="宋体" w:hAnsi="宋体" w:cs="宋体"/>
                <w:kern w:val="0"/>
                <w:sz w:val="22"/>
                <w:szCs w:val="24"/>
              </w:rPr>
              <w:t>022-58832835</w:t>
            </w:r>
          </w:p>
        </w:tc>
      </w:tr>
      <w:tr w:rsidR="00282CFB" w:rsidRPr="00B1368F" w:rsidTr="00282CFB">
        <w:trPr>
          <w:trHeight w:val="384"/>
        </w:trPr>
        <w:tc>
          <w:tcPr>
            <w:tcW w:w="701" w:type="dxa"/>
            <w:vMerge w:val="restar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2</w:t>
            </w:r>
          </w:p>
        </w:tc>
        <w:tc>
          <w:tcPr>
            <w:tcW w:w="1985" w:type="dxa"/>
            <w:vMerge w:val="restar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申报系统技术支持</w:t>
            </w:r>
          </w:p>
        </w:tc>
        <w:tc>
          <w:tcPr>
            <w:tcW w:w="1701" w:type="dxa"/>
            <w:vMerge w:val="restar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天津市科学技术信息研究所</w:t>
            </w:r>
          </w:p>
        </w:tc>
        <w:tc>
          <w:tcPr>
            <w:tcW w:w="992" w:type="dxa"/>
            <w:vMerge w:val="restar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proofErr w:type="gramStart"/>
            <w:r w:rsidRPr="00B1368F">
              <w:rPr>
                <w:rFonts w:ascii="宋体" w:eastAsia="宋体" w:hAnsi="宋体" w:cs="宋体"/>
                <w:kern w:val="0"/>
                <w:sz w:val="22"/>
                <w:szCs w:val="24"/>
              </w:rPr>
              <w:t>王欣宇</w:t>
            </w:r>
            <w:proofErr w:type="gramEnd"/>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wordWrap w:val="0"/>
              <w:jc w:val="left"/>
              <w:rPr>
                <w:rFonts w:ascii="宋体" w:eastAsia="宋体" w:hAnsi="宋体" w:cs="宋体"/>
                <w:kern w:val="0"/>
                <w:sz w:val="22"/>
                <w:szCs w:val="24"/>
              </w:rPr>
            </w:pPr>
            <w:r w:rsidRPr="00B1368F">
              <w:rPr>
                <w:rFonts w:ascii="宋体" w:eastAsia="宋体" w:hAnsi="宋体" w:cs="宋体"/>
                <w:kern w:val="0"/>
                <w:sz w:val="22"/>
                <w:szCs w:val="24"/>
              </w:rPr>
              <w:t>022-23106167</w:t>
            </w:r>
          </w:p>
        </w:tc>
      </w:tr>
      <w:tr w:rsidR="00282CFB" w:rsidRPr="00B1368F" w:rsidTr="00282CFB">
        <w:trPr>
          <w:trHeight w:val="397"/>
        </w:trPr>
        <w:tc>
          <w:tcPr>
            <w:tcW w:w="701" w:type="dxa"/>
            <w:vMerge/>
            <w:tcBorders>
              <w:top w:val="outset" w:sz="6" w:space="0" w:color="333333"/>
              <w:left w:val="outset" w:sz="6" w:space="0" w:color="333333"/>
              <w:bottom w:val="outset" w:sz="6" w:space="0" w:color="333333"/>
              <w:right w:val="outset" w:sz="6" w:space="0" w:color="333333"/>
            </w:tcBorders>
            <w:vAlign w:val="center"/>
            <w:hideMark/>
          </w:tcPr>
          <w:p w:rsidR="00282CFB" w:rsidRPr="00B1368F" w:rsidRDefault="00282CFB" w:rsidP="00282CFB">
            <w:pPr>
              <w:widowControl/>
              <w:jc w:val="left"/>
              <w:rPr>
                <w:rFonts w:ascii="宋体" w:eastAsia="宋体" w:hAnsi="宋体" w:cs="宋体"/>
                <w:kern w:val="0"/>
                <w:sz w:val="22"/>
                <w:szCs w:val="24"/>
              </w:rPr>
            </w:pPr>
          </w:p>
        </w:tc>
        <w:tc>
          <w:tcPr>
            <w:tcW w:w="1985" w:type="dxa"/>
            <w:vMerge/>
            <w:tcBorders>
              <w:top w:val="outset" w:sz="6" w:space="0" w:color="333333"/>
              <w:left w:val="outset" w:sz="6" w:space="0" w:color="333333"/>
              <w:bottom w:val="outset" w:sz="6" w:space="0" w:color="333333"/>
              <w:right w:val="outset" w:sz="6" w:space="0" w:color="333333"/>
            </w:tcBorders>
            <w:vAlign w:val="center"/>
            <w:hideMark/>
          </w:tcPr>
          <w:p w:rsidR="00282CFB" w:rsidRPr="00B1368F" w:rsidRDefault="00282CFB" w:rsidP="00282CFB">
            <w:pPr>
              <w:widowControl/>
              <w:jc w:val="left"/>
              <w:rPr>
                <w:rFonts w:ascii="宋体" w:eastAsia="宋体" w:hAnsi="宋体" w:cs="宋体"/>
                <w:kern w:val="0"/>
                <w:sz w:val="22"/>
                <w:szCs w:val="24"/>
              </w:rPr>
            </w:pPr>
          </w:p>
        </w:tc>
        <w:tc>
          <w:tcPr>
            <w:tcW w:w="1701" w:type="dxa"/>
            <w:vMerge/>
            <w:tcBorders>
              <w:top w:val="outset" w:sz="6" w:space="0" w:color="333333"/>
              <w:left w:val="outset" w:sz="6" w:space="0" w:color="333333"/>
              <w:bottom w:val="outset" w:sz="6" w:space="0" w:color="333333"/>
              <w:right w:val="outset" w:sz="6" w:space="0" w:color="333333"/>
            </w:tcBorders>
            <w:vAlign w:val="center"/>
            <w:hideMark/>
          </w:tcPr>
          <w:p w:rsidR="00282CFB" w:rsidRPr="00B1368F" w:rsidRDefault="00282CFB" w:rsidP="00282CFB">
            <w:pPr>
              <w:widowControl/>
              <w:jc w:val="left"/>
              <w:rPr>
                <w:rFonts w:ascii="宋体" w:eastAsia="宋体" w:hAnsi="宋体" w:cs="宋体"/>
                <w:kern w:val="0"/>
                <w:sz w:val="22"/>
                <w:szCs w:val="24"/>
              </w:rPr>
            </w:pPr>
          </w:p>
        </w:tc>
        <w:tc>
          <w:tcPr>
            <w:tcW w:w="992" w:type="dxa"/>
            <w:vMerge/>
            <w:tcBorders>
              <w:top w:val="outset" w:sz="6" w:space="0" w:color="333333"/>
              <w:left w:val="outset" w:sz="6" w:space="0" w:color="333333"/>
              <w:bottom w:val="outset" w:sz="6" w:space="0" w:color="333333"/>
              <w:right w:val="outset" w:sz="6" w:space="0" w:color="333333"/>
            </w:tcBorders>
            <w:vAlign w:val="center"/>
            <w:hideMark/>
          </w:tcPr>
          <w:p w:rsidR="00282CFB" w:rsidRPr="00B1368F" w:rsidRDefault="00282CFB" w:rsidP="00282CFB">
            <w:pPr>
              <w:widowControl/>
              <w:jc w:val="left"/>
              <w:rPr>
                <w:rFonts w:ascii="宋体" w:eastAsia="宋体" w:hAnsi="宋体" w:cs="宋体"/>
                <w:kern w:val="0"/>
                <w:sz w:val="22"/>
                <w:szCs w:val="24"/>
              </w:rPr>
            </w:pPr>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program@tj.gov.cn</w:t>
            </w:r>
          </w:p>
        </w:tc>
      </w:tr>
      <w:tr w:rsidR="00282CFB" w:rsidRPr="00B1368F" w:rsidTr="00282CFB">
        <w:trPr>
          <w:trHeight w:val="310"/>
        </w:trPr>
        <w:tc>
          <w:tcPr>
            <w:tcW w:w="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3</w:t>
            </w:r>
          </w:p>
        </w:tc>
        <w:tc>
          <w:tcPr>
            <w:tcW w:w="4678" w:type="dxa"/>
            <w:gridSpan w:val="3"/>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统一身份认证平台咨询</w:t>
            </w:r>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wordWrap w:val="0"/>
              <w:jc w:val="left"/>
              <w:rPr>
                <w:rFonts w:ascii="宋体" w:eastAsia="宋体" w:hAnsi="宋体" w:cs="宋体"/>
                <w:kern w:val="0"/>
                <w:sz w:val="22"/>
                <w:szCs w:val="24"/>
              </w:rPr>
            </w:pPr>
            <w:r w:rsidRPr="00B1368F">
              <w:rPr>
                <w:rFonts w:ascii="宋体" w:eastAsia="宋体" w:hAnsi="宋体" w:cs="宋体"/>
                <w:kern w:val="0"/>
                <w:sz w:val="22"/>
                <w:szCs w:val="24"/>
              </w:rPr>
              <w:t>022-88355351/88355383</w:t>
            </w:r>
          </w:p>
        </w:tc>
      </w:tr>
      <w:tr w:rsidR="00282CFB" w:rsidRPr="00B1368F" w:rsidTr="00282CFB">
        <w:trPr>
          <w:trHeight w:val="323"/>
        </w:trPr>
        <w:tc>
          <w:tcPr>
            <w:tcW w:w="701"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4</w:t>
            </w:r>
          </w:p>
        </w:tc>
        <w:tc>
          <w:tcPr>
            <w:tcW w:w="198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市科技局审查</w:t>
            </w:r>
          </w:p>
        </w:tc>
        <w:tc>
          <w:tcPr>
            <w:tcW w:w="2693" w:type="dxa"/>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jc w:val="left"/>
              <w:rPr>
                <w:rFonts w:ascii="宋体" w:eastAsia="宋体" w:hAnsi="宋体" w:cs="宋体"/>
                <w:kern w:val="0"/>
                <w:sz w:val="22"/>
                <w:szCs w:val="24"/>
              </w:rPr>
            </w:pPr>
            <w:r w:rsidRPr="00B1368F">
              <w:rPr>
                <w:rFonts w:ascii="宋体" w:eastAsia="宋体" w:hAnsi="宋体" w:cs="宋体"/>
                <w:kern w:val="0"/>
                <w:sz w:val="22"/>
                <w:szCs w:val="24"/>
              </w:rPr>
              <w:t>天津市科技创新发展中心</w:t>
            </w:r>
          </w:p>
        </w:tc>
        <w:tc>
          <w:tcPr>
            <w:tcW w:w="2835" w:type="dxa"/>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vAlign w:val="center"/>
            <w:hideMark/>
          </w:tcPr>
          <w:p w:rsidR="00282CFB" w:rsidRPr="00B1368F" w:rsidRDefault="00282CFB" w:rsidP="00282CFB">
            <w:pPr>
              <w:widowControl/>
              <w:wordWrap w:val="0"/>
              <w:jc w:val="left"/>
              <w:rPr>
                <w:rFonts w:ascii="宋体" w:eastAsia="宋体" w:hAnsi="宋体" w:cs="宋体"/>
                <w:kern w:val="0"/>
                <w:sz w:val="22"/>
                <w:szCs w:val="24"/>
              </w:rPr>
            </w:pPr>
            <w:r w:rsidRPr="00B1368F">
              <w:rPr>
                <w:rFonts w:ascii="宋体" w:eastAsia="宋体" w:hAnsi="宋体" w:cs="宋体"/>
                <w:kern w:val="0"/>
                <w:sz w:val="22"/>
                <w:szCs w:val="24"/>
              </w:rPr>
              <w:t>022-87890191转8505/8506</w:t>
            </w:r>
          </w:p>
        </w:tc>
      </w:tr>
    </w:tbl>
    <w:p w:rsidR="00EA7DB4" w:rsidRPr="00282CFB" w:rsidRDefault="00B1368F" w:rsidP="00282CFB">
      <w:pPr>
        <w:widowControl/>
        <w:shd w:val="clear" w:color="auto" w:fill="FFFFFF"/>
        <w:spacing w:line="525" w:lineRule="atLeast"/>
        <w:ind w:right="840"/>
        <w:jc w:val="right"/>
        <w:rPr>
          <w:rFonts w:ascii="微软雅黑" w:eastAsia="微软雅黑" w:hAnsi="微软雅黑" w:cs="宋体" w:hint="eastAsia"/>
          <w:color w:val="313131"/>
          <w:kern w:val="0"/>
          <w:szCs w:val="21"/>
        </w:rPr>
      </w:pPr>
      <w:r w:rsidRPr="00B1368F">
        <w:rPr>
          <w:rFonts w:ascii="微软雅黑" w:eastAsia="微软雅黑" w:hAnsi="微软雅黑" w:cs="宋体" w:hint="eastAsia"/>
          <w:color w:val="313131"/>
          <w:kern w:val="0"/>
          <w:szCs w:val="21"/>
        </w:rPr>
        <w:t>2022年3月9日</w:t>
      </w:r>
      <w:bookmarkStart w:id="0" w:name="_GoBack"/>
      <w:bookmarkEnd w:id="0"/>
    </w:p>
    <w:sectPr w:rsidR="00EA7DB4" w:rsidRPr="00282CFB" w:rsidSect="00282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8F"/>
    <w:rsid w:val="00282CFB"/>
    <w:rsid w:val="00B1368F"/>
    <w:rsid w:val="00EA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7C84"/>
  <w15:chartTrackingRefBased/>
  <w15:docId w15:val="{A808356A-0482-4864-B875-5C517C0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rive">
    <w:name w:val="derive"/>
    <w:basedOn w:val="a0"/>
    <w:rsid w:val="00B1368F"/>
  </w:style>
  <w:style w:type="character" w:customStyle="1" w:styleId="date">
    <w:name w:val="date"/>
    <w:basedOn w:val="a0"/>
    <w:rsid w:val="00B1368F"/>
  </w:style>
  <w:style w:type="paragraph" w:styleId="a3">
    <w:name w:val="Normal (Web)"/>
    <w:basedOn w:val="a"/>
    <w:uiPriority w:val="99"/>
    <w:semiHidden/>
    <w:unhideWhenUsed/>
    <w:rsid w:val="00B136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764056">
      <w:bodyDiv w:val="1"/>
      <w:marLeft w:val="0"/>
      <w:marRight w:val="0"/>
      <w:marTop w:val="0"/>
      <w:marBottom w:val="0"/>
      <w:divBdr>
        <w:top w:val="none" w:sz="0" w:space="0" w:color="auto"/>
        <w:left w:val="none" w:sz="0" w:space="0" w:color="auto"/>
        <w:bottom w:val="none" w:sz="0" w:space="0" w:color="auto"/>
        <w:right w:val="none" w:sz="0" w:space="0" w:color="auto"/>
      </w:divBdr>
      <w:divsChild>
        <w:div w:id="239339294">
          <w:marLeft w:val="0"/>
          <w:marRight w:val="0"/>
          <w:marTop w:val="0"/>
          <w:marBottom w:val="0"/>
          <w:divBdr>
            <w:top w:val="none" w:sz="0" w:space="0" w:color="auto"/>
            <w:left w:val="none" w:sz="0" w:space="0" w:color="auto"/>
            <w:bottom w:val="none" w:sz="0" w:space="0" w:color="auto"/>
            <w:right w:val="none" w:sz="0" w:space="0" w:color="auto"/>
          </w:divBdr>
          <w:divsChild>
            <w:div w:id="738479507">
              <w:marLeft w:val="600"/>
              <w:marRight w:val="0"/>
              <w:marTop w:val="0"/>
              <w:marBottom w:val="0"/>
              <w:divBdr>
                <w:top w:val="none" w:sz="0" w:space="0" w:color="auto"/>
                <w:left w:val="none" w:sz="0" w:space="0" w:color="auto"/>
                <w:bottom w:val="none" w:sz="0" w:space="0" w:color="auto"/>
                <w:right w:val="none" w:sz="0" w:space="0" w:color="auto"/>
              </w:divBdr>
            </w:div>
          </w:divsChild>
        </w:div>
        <w:div w:id="173973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刘昊QD</dc:creator>
  <cp:keywords/>
  <dc:description/>
  <cp:lastModifiedBy>刘昊QD</cp:lastModifiedBy>
  <cp:revision>1</cp:revision>
  <dcterms:created xsi:type="dcterms:W3CDTF">2022-03-10T03:44:00Z</dcterms:created>
  <dcterms:modified xsi:type="dcterms:W3CDTF">2022-03-10T04:02:00Z</dcterms:modified>
</cp:coreProperties>
</file>