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bdr w:val="none" w:color="auto" w:sz="0" w:space="0"/>
          <w:shd w:val="clear" w:fill="FFFFFF"/>
          <w:lang w:val="en-US" w:eastAsia="zh-CN" w:bidi="ar"/>
        </w:rPr>
        <w:t>市科技局关于开展2021年度第二批天津市促进科技成果转化交易项目补助受理工作的通知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center"/>
        <w:rPr>
          <w:rFonts w:hint="eastAsia" w:ascii="仿宋_GB2312" w:hAnsi="仿宋_GB2312" w:eastAsia="仿宋_GB2312" w:cs="仿宋_GB2312"/>
          <w:b w:val="0"/>
          <w:i w:val="0"/>
          <w:caps w:val="0"/>
          <w:color w:val="313131"/>
          <w:spacing w:val="0"/>
          <w:sz w:val="32"/>
          <w:szCs w:val="32"/>
        </w:rPr>
      </w:pPr>
      <w:r>
        <w:rPr>
          <w:rFonts w:hint="eastAsia" w:ascii="仿宋_GB2312" w:hAnsi="仿宋_GB2312" w:eastAsia="仿宋_GB2312" w:cs="仿宋_GB2312"/>
          <w:b w:val="0"/>
          <w:i w:val="0"/>
          <w:caps w:val="0"/>
          <w:spacing w:val="0"/>
          <w:kern w:val="0"/>
          <w:sz w:val="32"/>
          <w:szCs w:val="32"/>
          <w:u w:val="none"/>
          <w:shd w:val="clear" w:fill="FFFFFF"/>
          <w:lang w:val="en-US" w:eastAsia="zh-CN" w:bidi="ar"/>
        </w:rPr>
        <w:fldChar w:fldCharType="begin"/>
      </w:r>
      <w:r>
        <w:rPr>
          <w:rFonts w:hint="eastAsia" w:ascii="仿宋_GB2312" w:hAnsi="仿宋_GB2312" w:eastAsia="仿宋_GB2312" w:cs="仿宋_GB2312"/>
          <w:b w:val="0"/>
          <w:i w:val="0"/>
          <w:caps w:val="0"/>
          <w:spacing w:val="0"/>
          <w:kern w:val="0"/>
          <w:sz w:val="32"/>
          <w:szCs w:val="32"/>
          <w:u w:val="none"/>
          <w:shd w:val="clear" w:fill="FFFFFF"/>
          <w:lang w:val="en-US" w:eastAsia="zh-CN" w:bidi="ar"/>
        </w:rPr>
        <w:instrText xml:space="preserve"> HYPERLINK "http://kxjs.tj.gov.cn/ZWGK4143/TZGG2079/202107/javascript:void(0);" </w:instrText>
      </w:r>
      <w:r>
        <w:rPr>
          <w:rFonts w:hint="eastAsia" w:ascii="仿宋_GB2312" w:hAnsi="仿宋_GB2312" w:eastAsia="仿宋_GB2312" w:cs="仿宋_GB2312"/>
          <w:b w:val="0"/>
          <w:i w:val="0"/>
          <w:caps w:val="0"/>
          <w:spacing w:val="0"/>
          <w:kern w:val="0"/>
          <w:sz w:val="32"/>
          <w:szCs w:val="32"/>
          <w:u w:val="none"/>
          <w:shd w:val="clear" w:fill="FFFFFF"/>
          <w:lang w:val="en-US" w:eastAsia="zh-CN" w:bidi="ar"/>
        </w:rPr>
        <w:fldChar w:fldCharType="separate"/>
      </w:r>
      <w:r>
        <w:rPr>
          <w:rFonts w:hint="eastAsia" w:ascii="仿宋_GB2312" w:hAnsi="仿宋_GB2312" w:eastAsia="仿宋_GB2312" w:cs="仿宋_GB2312"/>
          <w:b w:val="0"/>
          <w:i w:val="0"/>
          <w:caps w:val="0"/>
          <w:spacing w:val="0"/>
          <w:kern w:val="0"/>
          <w:sz w:val="32"/>
          <w:szCs w:val="32"/>
          <w:u w:val="none"/>
          <w:shd w:val="clear" w:fill="FFFFFF"/>
          <w:lang w:val="en-US" w:eastAsia="zh-CN" w:bidi="ar"/>
        </w:rPr>
        <w:fldChar w:fldCharType="end"/>
      </w:r>
      <w:r>
        <w:rPr>
          <w:rFonts w:hint="eastAsia" w:ascii="仿宋_GB2312" w:hAnsi="仿宋_GB2312" w:eastAsia="仿宋_GB2312" w:cs="仿宋_GB2312"/>
          <w:b w:val="0"/>
          <w:i w:val="0"/>
          <w:caps w:val="0"/>
          <w:color w:val="313131"/>
          <w:spacing w:val="0"/>
          <w:kern w:val="0"/>
          <w:sz w:val="32"/>
          <w:szCs w:val="32"/>
          <w:bdr w:val="none" w:color="auto" w:sz="0" w:space="0"/>
          <w:shd w:val="clear" w:fill="FFFFFF"/>
          <w:lang w:val="en-US" w:eastAsia="zh-CN" w:bidi="ar"/>
        </w:rPr>
        <w:t> </w:t>
      </w:r>
      <w:r>
        <w:rPr>
          <w:rFonts w:hint="eastAsia" w:ascii="仿宋_GB2312" w:hAnsi="仿宋_GB2312" w:eastAsia="仿宋_GB2312" w:cs="仿宋_GB2312"/>
          <w:b w:val="0"/>
          <w:i w:val="0"/>
          <w:caps w:val="0"/>
          <w:spacing w:val="0"/>
          <w:kern w:val="0"/>
          <w:sz w:val="32"/>
          <w:szCs w:val="32"/>
          <w:u w:val="none"/>
          <w:shd w:val="clear" w:fill="FFFFFF"/>
          <w:lang w:val="en-US" w:eastAsia="zh-CN" w:bidi="ar"/>
        </w:rPr>
        <w:fldChar w:fldCharType="begin"/>
      </w:r>
      <w:r>
        <w:rPr>
          <w:rFonts w:hint="eastAsia" w:ascii="仿宋_GB2312" w:hAnsi="仿宋_GB2312" w:eastAsia="仿宋_GB2312" w:cs="仿宋_GB2312"/>
          <w:b w:val="0"/>
          <w:i w:val="0"/>
          <w:caps w:val="0"/>
          <w:spacing w:val="0"/>
          <w:kern w:val="0"/>
          <w:sz w:val="32"/>
          <w:szCs w:val="32"/>
          <w:u w:val="none"/>
          <w:shd w:val="clear" w:fill="FFFFFF"/>
          <w:lang w:val="en-US" w:eastAsia="zh-CN" w:bidi="ar"/>
        </w:rPr>
        <w:instrText xml:space="preserve"> HYPERLINK "http://kxjs.tj.gov.cn/ZWGK4143/TZGG2079/202107/javascript:void(0);" </w:instrText>
      </w:r>
      <w:r>
        <w:rPr>
          <w:rFonts w:hint="eastAsia" w:ascii="仿宋_GB2312" w:hAnsi="仿宋_GB2312" w:eastAsia="仿宋_GB2312" w:cs="仿宋_GB2312"/>
          <w:b w:val="0"/>
          <w:i w:val="0"/>
          <w:caps w:val="0"/>
          <w:spacing w:val="0"/>
          <w:kern w:val="0"/>
          <w:sz w:val="32"/>
          <w:szCs w:val="32"/>
          <w:u w:val="none"/>
          <w:shd w:val="clear" w:fill="FFFFFF"/>
          <w:lang w:val="en-US" w:eastAsia="zh-CN" w:bidi="ar"/>
        </w:rPr>
        <w:fldChar w:fldCharType="separate"/>
      </w:r>
      <w:r>
        <w:rPr>
          <w:rFonts w:hint="eastAsia" w:ascii="仿宋_GB2312" w:hAnsi="仿宋_GB2312" w:eastAsia="仿宋_GB2312" w:cs="仿宋_GB2312"/>
          <w:b w:val="0"/>
          <w:i w:val="0"/>
          <w:caps w:val="0"/>
          <w:spacing w:val="0"/>
          <w:kern w:val="0"/>
          <w:sz w:val="32"/>
          <w:szCs w:val="32"/>
          <w:u w:val="none"/>
          <w:shd w:val="clear" w:fill="FFFFFF"/>
          <w:lang w:val="en-US" w:eastAsia="zh-CN" w:bidi="ar"/>
        </w:rPr>
        <w:fldChar w:fldCharType="end"/>
      </w:r>
      <w:r>
        <w:rPr>
          <w:rFonts w:hint="eastAsia" w:ascii="仿宋_GB2312" w:hAnsi="仿宋_GB2312" w:eastAsia="仿宋_GB2312" w:cs="仿宋_GB2312"/>
          <w:b w:val="0"/>
          <w:i w:val="0"/>
          <w:caps w:val="0"/>
          <w:color w:val="313131"/>
          <w:spacing w:val="0"/>
          <w:kern w:val="0"/>
          <w:sz w:val="32"/>
          <w:szCs w:val="32"/>
          <w:bdr w:val="none" w:color="auto" w:sz="0" w:space="0"/>
          <w:shd w:val="clear" w:fill="FFFFFF"/>
          <w:lang w:val="en-US" w:eastAsia="zh-CN" w:bidi="ar"/>
        </w:rPr>
        <w:t> </w:t>
      </w:r>
      <w:r>
        <w:rPr>
          <w:rFonts w:hint="eastAsia" w:ascii="仿宋_GB2312" w:hAnsi="仿宋_GB2312" w:eastAsia="仿宋_GB2312" w:cs="仿宋_GB2312"/>
          <w:b w:val="0"/>
          <w:i w:val="0"/>
          <w:caps w:val="0"/>
          <w:spacing w:val="0"/>
          <w:kern w:val="0"/>
          <w:sz w:val="32"/>
          <w:szCs w:val="32"/>
          <w:u w:val="none"/>
          <w:shd w:val="clear" w:fill="FFFFFF"/>
          <w:lang w:val="en-US" w:eastAsia="zh-CN" w:bidi="ar"/>
        </w:rPr>
        <w:fldChar w:fldCharType="begin"/>
      </w:r>
      <w:r>
        <w:rPr>
          <w:rFonts w:hint="eastAsia" w:ascii="仿宋_GB2312" w:hAnsi="仿宋_GB2312" w:eastAsia="仿宋_GB2312" w:cs="仿宋_GB2312"/>
          <w:b w:val="0"/>
          <w:i w:val="0"/>
          <w:caps w:val="0"/>
          <w:spacing w:val="0"/>
          <w:kern w:val="0"/>
          <w:sz w:val="32"/>
          <w:szCs w:val="32"/>
          <w:u w:val="none"/>
          <w:shd w:val="clear" w:fill="FFFFFF"/>
          <w:lang w:val="en-US" w:eastAsia="zh-CN" w:bidi="ar"/>
        </w:rPr>
        <w:instrText xml:space="preserve"> HYPERLINK "http://kxjs.tj.gov.cn/ZWGK4143/TZGG2079/202107/javascript:print();" </w:instrText>
      </w:r>
      <w:r>
        <w:rPr>
          <w:rFonts w:hint="eastAsia" w:ascii="仿宋_GB2312" w:hAnsi="仿宋_GB2312" w:eastAsia="仿宋_GB2312" w:cs="仿宋_GB2312"/>
          <w:b w:val="0"/>
          <w:i w:val="0"/>
          <w:caps w:val="0"/>
          <w:spacing w:val="0"/>
          <w:kern w:val="0"/>
          <w:sz w:val="32"/>
          <w:szCs w:val="32"/>
          <w:u w:val="none"/>
          <w:shd w:val="clear" w:fill="FFFFFF"/>
          <w:lang w:val="en-US" w:eastAsia="zh-CN" w:bidi="ar"/>
        </w:rPr>
        <w:fldChar w:fldCharType="separate"/>
      </w:r>
      <w:r>
        <w:rPr>
          <w:rFonts w:hint="eastAsia" w:ascii="仿宋_GB2312" w:hAnsi="仿宋_GB2312" w:eastAsia="仿宋_GB2312" w:cs="仿宋_GB2312"/>
          <w:b w:val="0"/>
          <w:i w:val="0"/>
          <w:caps w:val="0"/>
          <w:spacing w:val="0"/>
          <w:kern w:val="0"/>
          <w:sz w:val="32"/>
          <w:szCs w:val="32"/>
          <w:u w:val="none"/>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为激活科技成果交易市场，根据《天津市促进科技成果转化交易项目管理办法》（津科规〔2018〕6号)、《天津市促进科技成果转化交易项目补助资金管理办法》（津财规〔2018〕20号）要求，市科技局将继续开展科技成果转化交易项目补助工作。现将2021年度第二批天津市促进科技成果转化交易项目补助工作相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Style w:val="5"/>
          <w:rFonts w:hint="eastAsia" w:ascii="仿宋_GB2312" w:hAnsi="仿宋_GB2312" w:eastAsia="仿宋_GB2312" w:cs="仿宋_GB2312"/>
          <w:b/>
          <w:i w:val="0"/>
          <w:caps w:val="0"/>
          <w:color w:val="313131"/>
          <w:spacing w:val="0"/>
          <w:sz w:val="32"/>
          <w:szCs w:val="32"/>
          <w:bdr w:val="none" w:color="auto" w:sz="0" w:space="0"/>
          <w:shd w:val="clear" w:fill="FFFFFF"/>
        </w:rPr>
        <w:t>一、交易项目补助对象及标准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（一）委托或受让企业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我市企业为委托方或受让方，与国内非营利性科研机构和高校进行的、单项交易额在10万元（含）以上的技术开发、技术转让交易，按照不超过当期实际技术交易额3%的标准，对委托或受让企业进行补助。单个企业本次补助金额不超过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（二）技术转移机构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1.线下技术转移机构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技术受让交易。对促成我市企业为委托方或受让方，与国内非营利性科研机构和高校完成技术开发、技术转让交易的机构，按照不超过当期实际技术交易额1%的标准对技术转移机构进行补助，单项交易补助金额不超过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技术出让交易。对促成我市法人单位为出让方的国内技术转让交易的机构，按照不超过当期实际技术交易额0.5%的标准对技术转移机构进行补助，单项交易补助金额不超过10万元。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同一交易的受让、出让补助不可兼得。单个机构本次补助金额不超过100万元。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2.线上技术转移机构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按照不超过当期实际交易额0.3%的标准进行补助，单项交易补助金额不超过5万元。上述补助金额不超过300万元。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（三）技术经纪人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技术转移机构应将不低于30%的补助资金用于奖励对促成成果交易做出实际贡献的技术经纪人，由技术转移机构根据技术经纪人实际贡献进行分配。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Style w:val="5"/>
          <w:rFonts w:hint="eastAsia" w:ascii="仿宋_GB2312" w:hAnsi="仿宋_GB2312" w:eastAsia="仿宋_GB2312" w:cs="仿宋_GB2312"/>
          <w:b/>
          <w:i w:val="0"/>
          <w:caps w:val="0"/>
          <w:color w:val="313131"/>
          <w:spacing w:val="0"/>
          <w:sz w:val="32"/>
          <w:szCs w:val="32"/>
          <w:bdr w:val="none" w:color="auto" w:sz="0" w:space="0"/>
          <w:shd w:val="clear" w:fill="FFFFFF"/>
        </w:rPr>
        <w:t>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一）本批申请补助的交易项目须在2020年12月1日至2021年6月30日期间进行，以付（到）款凭证为准。如有符合补助2021年度第一批要求（即交易项目在2020年9月1日至2020年11月30日）而未申请的单位此次可以进行补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（二）申请补助的交易项目必须在出让方所在地完成技术合同认定登记。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（三）“单项交易额在10万元以上”中“单项交易额”是指技术合同认定登记机构出具的技术合同技术性收入核定表中的“合同成交总额”。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（四）“当期实际技术交易额”是指技术合同认定登记机构出具的技术合同技术性收入核定表中的“本次实现技术交易额”。同一交易项目在本次补助时间范围内分期付款的，技术交易额可累计，一次性申报。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（五）委托或受让企业申报补助，需在补助申请表中填写技术转移机构在技术交易中所发挥的相关作用。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Style w:val="5"/>
          <w:rFonts w:hint="eastAsia" w:ascii="仿宋_GB2312" w:hAnsi="仿宋_GB2312" w:eastAsia="仿宋_GB2312" w:cs="仿宋_GB2312"/>
          <w:b/>
          <w:i w:val="0"/>
          <w:caps w:val="0"/>
          <w:color w:val="313131"/>
          <w:spacing w:val="0"/>
          <w:sz w:val="32"/>
          <w:szCs w:val="32"/>
          <w:bdr w:val="none" w:color="auto" w:sz="0" w:space="0"/>
          <w:shd w:val="clear" w:fill="FFFFFF"/>
        </w:rPr>
        <w:t>三、不予补助的交易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（一）技术开发、技术转让合同中的提成部分；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（二）认定登记为技术咨询合同、技术服务合同的交易项目；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（三）交易成果已在我市科技计划转化类项目立项支持的，不再给予委托或受让企业补助。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Style w:val="5"/>
          <w:rFonts w:hint="eastAsia" w:ascii="仿宋_GB2312" w:hAnsi="仿宋_GB2312" w:eastAsia="仿宋_GB2312" w:cs="仿宋_GB2312"/>
          <w:b/>
          <w:i w:val="0"/>
          <w:caps w:val="0"/>
          <w:color w:val="313131"/>
          <w:spacing w:val="0"/>
          <w:sz w:val="32"/>
          <w:szCs w:val="32"/>
          <w:bdr w:val="none" w:color="auto" w:sz="0" w:space="0"/>
          <w:shd w:val="clear" w:fill="FFFFFF"/>
        </w:rPr>
        <w:t>四、申报材料及附件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（一）委托或受让企业补助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1.《天津市促进科技成果转化交易项目补助申请表（委托或受让企业）》（在线填报，系统自动生成）；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2.附件材料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（1）统一社会信用代码证（首次申报企业提供）；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（2）技术合同（仅首页、支付方式页，不用附合同全文，涉密项目不得上传）、技术合同认定登记证明；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（3）交易付（到）款凭证（作价入股形式的技术转让交易，须提供工商管理部门出具的股权变更材料）；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（4）交易发票。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（二）技术转移机构及技术经纪人补助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1.《天津市促进科技成果转化交易项目补助申请表（技术转移机构）》（在线填报，系统自动生成）；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2.附件材料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（1）技术合同（仅首页、支付方式页，不用附合同全文，涉密项目不得上传）、技术合同认定登记证明；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（2）交易付（到）款凭证（作价入股形式的技术转让交易，须提供工商管理部门出具的股权变更材料）；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（3）交易发票；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4）技术转移服务委托协议（高校、科研院所等单位内设技术转移机构促成的自有技术交易，须提供单位科技管理部门盖章的技术交易服务情况说明，其他技术转移机构须提供与买卖双方签订的三方协议或分别与买卖双方签订的两两委托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申报补助的技术转移机构，应在天津市科技成果展示交易运营中心服务平台（www.tjkjcg.com）进行单位注册并获得登记号后，方可申请补助项目。促成交易的技术经纪人，在网上平台完成技术经纪人登记后，方可享受技术转移机构分配的补助资金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Style w:val="5"/>
          <w:rFonts w:hint="eastAsia" w:ascii="仿宋_GB2312" w:hAnsi="仿宋_GB2312" w:eastAsia="仿宋_GB2312" w:cs="仿宋_GB2312"/>
          <w:b/>
          <w:i w:val="0"/>
          <w:caps w:val="0"/>
          <w:color w:val="313131"/>
          <w:spacing w:val="0"/>
          <w:sz w:val="32"/>
          <w:szCs w:val="32"/>
          <w:bdr w:val="none" w:color="auto" w:sz="0" w:space="0"/>
          <w:shd w:val="clear" w:fill="FFFFFF"/>
        </w:rPr>
        <w:t>五、申报流程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（一）申报单位注册。登录天津市科技成果展示交易运营中心服务平台（www.tjkjcg.com），进行单位注册。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二）基本资料完善。从网站首页“平台基础服务-成果交易补助申报”或“会员中心-成果交易补助申报”进入申报系统，选择申报主体类型，进行基本资料完善，并提交审核（审核结果以短信形式告知）。已申报过交易补助的单位使用原有用户名、密码登录，直接进入申报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三）在线申报。按照申报系统中的说明在线填写申报信息，并上传完整附件材料。线上填写完成后，点击“完成此次申报”，方能进入审核程序。各申报单位应在2021年7月27日前完成申报材料填写并在线提交至局级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（四）局级主管部门初审。局级主管部门需使用部门账号对申报信息进行初审，在2021年8月3日前完成审核（含驳回修改时间）并在线提交至市科技局。建议各申报单位及时与局级主管部门做好沟通。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五）市科技局审核。市科技局对初审通过的交易项目进行形式审查。形式审查驳回的项目，须在三日内完成修改，并提交局级主管单位审核，如果项目通过形式审查，项目状态栏显示“形式审查通过”。该阶段，每个申报项目仅有1次修改机会，建议各申报单位及时关注项目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（六）纸质材料报送。形式审查通过后，各申报单位在线打印并报送《天津市促进科技成果转化交易项目补助申请表》（含相关附件）纸质版3份。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Style w:val="5"/>
          <w:rFonts w:hint="eastAsia" w:ascii="仿宋_GB2312" w:hAnsi="仿宋_GB2312" w:eastAsia="仿宋_GB2312" w:cs="仿宋_GB2312"/>
          <w:b/>
          <w:i w:val="0"/>
          <w:caps w:val="0"/>
          <w:color w:val="313131"/>
          <w:spacing w:val="0"/>
          <w:sz w:val="32"/>
          <w:szCs w:val="32"/>
          <w:bdr w:val="none" w:color="auto" w:sz="0" w:space="0"/>
          <w:shd w:val="clear" w:fill="FFFFFF"/>
        </w:rPr>
        <w:t>六、纸质材料受理地址及时间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受理地址：天津市科学技术发展战略研究院（地址：河东区新开路138号304室）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受理时间：2021年8月6日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Style w:val="5"/>
          <w:rFonts w:hint="eastAsia" w:ascii="仿宋_GB2312" w:hAnsi="仿宋_GB2312" w:eastAsia="仿宋_GB2312" w:cs="仿宋_GB2312"/>
          <w:b/>
          <w:i w:val="0"/>
          <w:caps w:val="0"/>
          <w:color w:val="313131"/>
          <w:spacing w:val="0"/>
          <w:sz w:val="32"/>
          <w:szCs w:val="32"/>
          <w:bdr w:val="none" w:color="auto" w:sz="0" w:space="0"/>
          <w:shd w:val="clear" w:fill="FFFFFF"/>
        </w:rPr>
        <w:t>七、联系方式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市科学技术发展战略研究院     郭志毅 24436192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市科技局科技成果与技术市场处  张明 58832961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在线系统技术支持：王璐  23718896  27378890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附件：1.天津市促进科技成果转化交易项目管理办法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1278" w:leftChars="304" w:right="0" w:hanging="640" w:hanging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    </w:t>
      </w:r>
      <w:bookmarkStart w:id="0" w:name="_GoBack"/>
      <w:bookmarkEnd w:id="0"/>
      <w:r>
        <w:rPr>
          <w:rFonts w:hint="eastAsia" w:ascii="仿宋_GB2312" w:hAnsi="仿宋_GB2312" w:eastAsia="仿宋_GB2312" w:cs="仿宋_GB2312"/>
          <w:b w:val="0"/>
          <w:i w:val="0"/>
          <w:caps w:val="0"/>
          <w:color w:val="313131"/>
          <w:spacing w:val="0"/>
          <w:sz w:val="32"/>
          <w:szCs w:val="32"/>
          <w:bdr w:val="none" w:color="auto" w:sz="0" w:space="0"/>
          <w:shd w:val="clear" w:fill="FFFFFF"/>
        </w:rPr>
        <w:t>2.各区成果转化交易项目补助受理部门及技术合同认定登记机构联系方式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both"/>
        <w:rPr>
          <w:rFonts w:hint="eastAsia" w:ascii="仿宋_GB2312" w:hAnsi="仿宋_GB2312" w:eastAsia="仿宋_GB2312" w:cs="仿宋_GB231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13131"/>
          <w:spacing w:val="0"/>
          <w:sz w:val="32"/>
          <w:szCs w:val="32"/>
          <w:bdr w:val="none" w:color="auto" w:sz="0" w:space="0"/>
          <w:shd w:val="clear" w:fill="FFFFFF"/>
        </w:rPr>
        <w:t>2021年7月2日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803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2021-07-09T08:21:12Z</dcterms:created>
  <dc:creator>win7</dc:creator>
  <cp:lastModifiedBy>win7</cp:lastModifiedBy>
  <dcterms:modified xsi:type="dcterms:W3CDTF">2021-07-09T08:21:48Z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