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2224D" w14:textId="77777777" w:rsidR="00EF3940" w:rsidRPr="00EF3940" w:rsidRDefault="00EF3940" w:rsidP="00EF3940">
      <w:pPr>
        <w:widowControl/>
        <w:shd w:val="clear" w:color="auto" w:fill="FFFFFF"/>
        <w:spacing w:line="510" w:lineRule="atLeast"/>
        <w:jc w:val="center"/>
        <w:rPr>
          <w:rFonts w:ascii="仿宋_GB2312" w:eastAsia="仿宋_GB2312" w:hAnsi="Arial" w:cs="Arial" w:hint="eastAsia"/>
          <w:color w:val="333333"/>
          <w:kern w:val="0"/>
          <w:sz w:val="32"/>
          <w:szCs w:val="32"/>
        </w:rPr>
      </w:pPr>
      <w:r w:rsidRPr="00EF3940">
        <w:rPr>
          <w:rFonts w:ascii="仿宋_GB2312" w:eastAsia="仿宋_GB2312" w:hAnsi="Arial" w:cs="Arial" w:hint="eastAsia"/>
          <w:color w:val="333333"/>
          <w:kern w:val="0"/>
          <w:sz w:val="32"/>
          <w:szCs w:val="32"/>
        </w:rPr>
        <w:t>关于开展2021天津企业100强暨中国企业500强排序分析工作的通知</w:t>
      </w:r>
    </w:p>
    <w:p w14:paraId="1C0DE3BF" w14:textId="77777777" w:rsidR="00EF3940" w:rsidRDefault="00EF3940" w:rsidP="00EF3940">
      <w:pPr>
        <w:widowControl/>
        <w:shd w:val="clear" w:color="auto" w:fill="FFFFFF"/>
        <w:spacing w:line="600" w:lineRule="atLeast"/>
        <w:rPr>
          <w:rFonts w:ascii="仿宋_GB2312" w:eastAsia="仿宋_GB2312" w:hAnsi="Arial" w:cs="Arial"/>
          <w:color w:val="666666"/>
          <w:kern w:val="0"/>
          <w:sz w:val="32"/>
          <w:szCs w:val="32"/>
        </w:rPr>
      </w:pPr>
    </w:p>
    <w:p w14:paraId="3456EEA8" w14:textId="714FC38D" w:rsidR="00EF3940" w:rsidRPr="00EF3940" w:rsidRDefault="00EF3940" w:rsidP="00EF3940">
      <w:pPr>
        <w:widowControl/>
        <w:shd w:val="clear" w:color="auto" w:fill="FFFFFF"/>
        <w:spacing w:line="600" w:lineRule="atLeast"/>
        <w:rPr>
          <w:rFonts w:ascii="仿宋_GB2312" w:eastAsia="仿宋_GB2312" w:hAnsi="Arial" w:cs="Arial" w:hint="eastAsia"/>
          <w:color w:val="333333"/>
          <w:kern w:val="0"/>
          <w:sz w:val="32"/>
          <w:szCs w:val="32"/>
        </w:rPr>
      </w:pPr>
      <w:bookmarkStart w:id="0" w:name="_GoBack"/>
      <w:bookmarkEnd w:id="0"/>
      <w:r w:rsidRPr="00EF3940">
        <w:rPr>
          <w:rFonts w:ascii="仿宋_GB2312" w:eastAsia="仿宋_GB2312" w:hAnsi="仿宋" w:cs="Arial" w:hint="eastAsia"/>
          <w:color w:val="333333"/>
          <w:kern w:val="0"/>
          <w:sz w:val="32"/>
          <w:szCs w:val="32"/>
        </w:rPr>
        <w:t>各企业集团、有关企业：</w:t>
      </w:r>
    </w:p>
    <w:p w14:paraId="060E826B" w14:textId="77777777" w:rsidR="00EF3940" w:rsidRPr="00EF3940" w:rsidRDefault="00EF3940" w:rsidP="00EF3940">
      <w:pPr>
        <w:widowControl/>
        <w:shd w:val="clear" w:color="auto" w:fill="FFFFFF"/>
        <w:spacing w:line="600" w:lineRule="atLeast"/>
        <w:ind w:right="180" w:firstLine="645"/>
        <w:rPr>
          <w:rFonts w:ascii="仿宋_GB2312" w:eastAsia="仿宋_GB2312" w:hAnsi="Arial" w:cs="Arial" w:hint="eastAsia"/>
          <w:color w:val="333333"/>
          <w:kern w:val="0"/>
          <w:sz w:val="32"/>
          <w:szCs w:val="32"/>
        </w:rPr>
      </w:pPr>
      <w:r w:rsidRPr="00EF3940">
        <w:rPr>
          <w:rFonts w:ascii="仿宋_GB2312" w:eastAsia="仿宋_GB2312" w:hAnsi="仿宋" w:cs="Arial" w:hint="eastAsia"/>
          <w:color w:val="333333"/>
          <w:kern w:val="0"/>
          <w:sz w:val="32"/>
          <w:szCs w:val="32"/>
        </w:rPr>
        <w:t>2003年以来，我会连续第18年向社会发布了天津企业100强及其分析报告。这项工作得到了政府部门、企业界、新闻界等社会各界的广泛关注和肯定，提升了企业国内、外知名度，促进了企业软实力建设，增强了企业市场竞争力，受到企业的普遍重视和欢迎。</w:t>
      </w:r>
    </w:p>
    <w:p w14:paraId="75ADFF1C" w14:textId="77777777" w:rsidR="00EF3940" w:rsidRPr="00EF3940" w:rsidRDefault="00EF3940" w:rsidP="00EF3940">
      <w:pPr>
        <w:widowControl/>
        <w:shd w:val="clear" w:color="auto" w:fill="FFFFFF"/>
        <w:spacing w:line="600" w:lineRule="atLeast"/>
        <w:ind w:firstLine="645"/>
        <w:rPr>
          <w:rFonts w:ascii="仿宋_GB2312" w:eastAsia="仿宋_GB2312" w:hAnsi="Arial" w:cs="Arial" w:hint="eastAsia"/>
          <w:color w:val="333333"/>
          <w:kern w:val="0"/>
          <w:sz w:val="32"/>
          <w:szCs w:val="32"/>
        </w:rPr>
      </w:pPr>
      <w:r w:rsidRPr="00EF3940">
        <w:rPr>
          <w:rFonts w:ascii="仿宋_GB2312" w:eastAsia="仿宋_GB2312" w:hAnsi="仿宋" w:cs="Arial" w:hint="eastAsia"/>
          <w:color w:val="333333"/>
          <w:kern w:val="0"/>
          <w:sz w:val="32"/>
          <w:szCs w:val="32"/>
        </w:rPr>
        <w:t>为深入贯彻习近平新时代中国特色社会主义思想和党的十九届五中全会精神，按照市委市政府高质量发展的根本要求引导我市企业深刻认识新发展阶段面临的机遇和挑战，贯彻落实新发展理念，全面参与构建新发展格局, 持续做强做优做大,不断提高国际竞争力。天津市企业联合会、天津市企业家协会按照中国企业联合会、企业家协会的统一部署，继续开展2021天津企业100强排序分析及中国企业500强排序分析推荐申报工作，同时，我们将依据企业战略性新兴产业（以下简称“战新”）业务归口统计的营业收入，向中国企业联合会、企业家协会推荐申报“中国战略性新兴产业领军企业100强”。现将有关事项安排如下：</w:t>
      </w:r>
    </w:p>
    <w:p w14:paraId="2F20D6E0" w14:textId="77777777" w:rsidR="00EF3940" w:rsidRPr="00EF3940" w:rsidRDefault="00EF3940" w:rsidP="00EF3940">
      <w:pPr>
        <w:widowControl/>
        <w:shd w:val="clear" w:color="auto" w:fill="FFFFFF"/>
        <w:spacing w:line="600" w:lineRule="atLeast"/>
        <w:ind w:right="180" w:firstLine="645"/>
        <w:rPr>
          <w:rFonts w:ascii="仿宋_GB2312" w:eastAsia="仿宋_GB2312" w:hAnsi="Arial" w:cs="Arial" w:hint="eastAsia"/>
          <w:color w:val="333333"/>
          <w:kern w:val="0"/>
          <w:sz w:val="32"/>
          <w:szCs w:val="32"/>
        </w:rPr>
      </w:pPr>
      <w:r w:rsidRPr="00EF3940">
        <w:rPr>
          <w:rFonts w:ascii="仿宋_GB2312" w:eastAsia="仿宋_GB2312" w:hAnsi="仿宋" w:cs="Arial" w:hint="eastAsia"/>
          <w:color w:val="333333"/>
          <w:kern w:val="0"/>
          <w:sz w:val="32"/>
          <w:szCs w:val="32"/>
        </w:rPr>
        <w:t>一、2021天津企业100强排序分析与中国企业500强排序分析接轨，申报表统一规范为《2021天津企业100强</w:t>
      </w:r>
      <w:r w:rsidRPr="00EF3940">
        <w:rPr>
          <w:rFonts w:ascii="仿宋_GB2312" w:eastAsia="仿宋_GB2312" w:hAnsi="仿宋" w:cs="Arial" w:hint="eastAsia"/>
          <w:color w:val="333333"/>
          <w:kern w:val="0"/>
          <w:sz w:val="32"/>
          <w:szCs w:val="32"/>
        </w:rPr>
        <w:lastRenderedPageBreak/>
        <w:t>暨中国企业500强申报表》（见附件一），申报企业严格按照附件三的填表说明认真填写申报表。</w:t>
      </w:r>
    </w:p>
    <w:p w14:paraId="19E0130A" w14:textId="77777777" w:rsidR="00EF3940" w:rsidRPr="00EF3940" w:rsidRDefault="00EF3940" w:rsidP="00EF3940">
      <w:pPr>
        <w:widowControl/>
        <w:shd w:val="clear" w:color="auto" w:fill="FFFFFF"/>
        <w:spacing w:line="600" w:lineRule="atLeast"/>
        <w:ind w:firstLine="645"/>
        <w:rPr>
          <w:rFonts w:ascii="仿宋_GB2312" w:eastAsia="仿宋_GB2312" w:hAnsi="Arial" w:cs="Arial" w:hint="eastAsia"/>
          <w:color w:val="333333"/>
          <w:kern w:val="0"/>
          <w:sz w:val="32"/>
          <w:szCs w:val="32"/>
        </w:rPr>
      </w:pPr>
      <w:r w:rsidRPr="00EF3940">
        <w:rPr>
          <w:rFonts w:ascii="仿宋_GB2312" w:eastAsia="仿宋_GB2312" w:hAnsi="仿宋" w:cs="Arial" w:hint="eastAsia"/>
          <w:color w:val="333333"/>
          <w:kern w:val="0"/>
          <w:sz w:val="32"/>
          <w:szCs w:val="32"/>
        </w:rPr>
        <w:t>二、2021天津企业100强申报资格：凡是在天津市区域内注册，2020年完成营业收入达到25亿元（人民币）以上（含25亿元）的所有企业。不包括行政性公司以及各类资产经营公司，但包括在境外注册、投资主体为中国自然人或法人、主要业务在境内的企业。</w:t>
      </w:r>
    </w:p>
    <w:p w14:paraId="44471AEF" w14:textId="77777777" w:rsidR="00EF3940" w:rsidRPr="00EF3940" w:rsidRDefault="00EF3940" w:rsidP="00EF3940">
      <w:pPr>
        <w:widowControl/>
        <w:shd w:val="clear" w:color="auto" w:fill="FFFFFF"/>
        <w:spacing w:line="600" w:lineRule="atLeast"/>
        <w:ind w:firstLine="645"/>
        <w:rPr>
          <w:rFonts w:ascii="仿宋_GB2312" w:eastAsia="仿宋_GB2312" w:hAnsi="Arial" w:cs="Arial" w:hint="eastAsia"/>
          <w:color w:val="333333"/>
          <w:kern w:val="0"/>
          <w:sz w:val="32"/>
          <w:szCs w:val="32"/>
        </w:rPr>
      </w:pPr>
      <w:r w:rsidRPr="00EF3940">
        <w:rPr>
          <w:rFonts w:ascii="仿宋_GB2312" w:eastAsia="仿宋_GB2312" w:hAnsi="仿宋" w:cs="Arial" w:hint="eastAsia"/>
          <w:color w:val="333333"/>
          <w:kern w:val="0"/>
          <w:sz w:val="32"/>
          <w:szCs w:val="32"/>
        </w:rPr>
        <w:t>属于集团公司的控股子公司或相对控股子公司，由于其财务报表最后能被合并到集团母公司的财务会计报表中去，因此只允许其母公司申报。</w:t>
      </w:r>
    </w:p>
    <w:p w14:paraId="76E1146B" w14:textId="77777777" w:rsidR="00EF3940" w:rsidRPr="00EF3940" w:rsidRDefault="00EF3940" w:rsidP="00EF3940">
      <w:pPr>
        <w:widowControl/>
        <w:shd w:val="clear" w:color="auto" w:fill="FFFFFF"/>
        <w:spacing w:line="600" w:lineRule="atLeast"/>
        <w:ind w:firstLine="645"/>
        <w:rPr>
          <w:rFonts w:ascii="仿宋_GB2312" w:eastAsia="仿宋_GB2312" w:hAnsi="Arial" w:cs="Arial" w:hint="eastAsia"/>
          <w:color w:val="333333"/>
          <w:kern w:val="0"/>
          <w:sz w:val="32"/>
          <w:szCs w:val="32"/>
        </w:rPr>
      </w:pPr>
      <w:r w:rsidRPr="00EF3940">
        <w:rPr>
          <w:rFonts w:ascii="仿宋_GB2312" w:eastAsia="仿宋_GB2312" w:hAnsi="仿宋" w:cs="Arial" w:hint="eastAsia"/>
          <w:color w:val="333333"/>
          <w:kern w:val="0"/>
          <w:sz w:val="32"/>
          <w:szCs w:val="32"/>
        </w:rPr>
        <w:t>天津企业100强排序分析由企业自主申报，申报表要用计算机打印。如用手工填写，必须字迹清晰工整，按照填报说明完整填报有关数据。为了保证数据的客观公正，</w:t>
      </w:r>
      <w:r w:rsidRPr="00EF3940">
        <w:rPr>
          <w:rFonts w:ascii="仿宋_GB2312" w:eastAsia="仿宋_GB2312" w:hAnsi="仿宋" w:cs="Arial" w:hint="eastAsia"/>
          <w:b/>
          <w:bCs/>
          <w:color w:val="333333"/>
          <w:kern w:val="0"/>
          <w:sz w:val="32"/>
          <w:szCs w:val="32"/>
        </w:rPr>
        <w:t>申报企业均需提供由会计师事务所或审计机构确认的相关合并财务报表复印件</w:t>
      </w:r>
      <w:r w:rsidRPr="00EF3940">
        <w:rPr>
          <w:rFonts w:ascii="仿宋_GB2312" w:eastAsia="仿宋_GB2312" w:hAnsi="仿宋" w:cs="Arial" w:hint="eastAsia"/>
          <w:color w:val="333333"/>
          <w:kern w:val="0"/>
          <w:sz w:val="32"/>
          <w:szCs w:val="32"/>
        </w:rPr>
        <w:t>。未能提供的，需提交能够证明企业数据真实可靠的材料，如上报地方+财政局、统计局、国资委、发改委或主管部门的报表（副本），亦可由审计机构、上报单位或主管部门盖章确认。凡只提供企业申报表或数据不完整又无法确认的，均不再纳入申报范围。</w:t>
      </w:r>
    </w:p>
    <w:p w14:paraId="33D945A8" w14:textId="77777777" w:rsidR="00EF3940" w:rsidRPr="00EF3940" w:rsidRDefault="00EF3940" w:rsidP="00EF3940">
      <w:pPr>
        <w:widowControl/>
        <w:shd w:val="clear" w:color="auto" w:fill="FFFFFF"/>
        <w:spacing w:line="600" w:lineRule="atLeast"/>
        <w:ind w:firstLine="645"/>
        <w:rPr>
          <w:rFonts w:ascii="仿宋_GB2312" w:eastAsia="仿宋_GB2312" w:hAnsi="Arial" w:cs="Arial" w:hint="eastAsia"/>
          <w:color w:val="333333"/>
          <w:kern w:val="0"/>
          <w:sz w:val="32"/>
          <w:szCs w:val="32"/>
        </w:rPr>
      </w:pPr>
      <w:r w:rsidRPr="00EF3940">
        <w:rPr>
          <w:rFonts w:ascii="仿宋_GB2312" w:eastAsia="仿宋_GB2312" w:hAnsi="仿宋" w:cs="Arial" w:hint="eastAsia"/>
          <w:color w:val="333333"/>
          <w:kern w:val="0"/>
          <w:sz w:val="32"/>
          <w:szCs w:val="32"/>
        </w:rPr>
        <w:t>三、在报送申报表的同时，报送贵单位电子版企业简介和企业董事长（总经理、总裁）名片大小高清晰工作照一张（请注明姓名、职务），企业简介在2000字以内。</w:t>
      </w:r>
    </w:p>
    <w:p w14:paraId="31521061" w14:textId="77777777" w:rsidR="00EF3940" w:rsidRPr="00EF3940" w:rsidRDefault="00EF3940" w:rsidP="00EF3940">
      <w:pPr>
        <w:widowControl/>
        <w:shd w:val="clear" w:color="auto" w:fill="FFFFFF"/>
        <w:spacing w:line="600" w:lineRule="atLeast"/>
        <w:ind w:right="180" w:firstLine="645"/>
        <w:rPr>
          <w:rFonts w:ascii="仿宋_GB2312" w:eastAsia="仿宋_GB2312" w:hAnsi="Arial" w:cs="Arial" w:hint="eastAsia"/>
          <w:color w:val="333333"/>
          <w:kern w:val="0"/>
          <w:sz w:val="32"/>
          <w:szCs w:val="32"/>
        </w:rPr>
      </w:pPr>
      <w:r w:rsidRPr="00EF3940">
        <w:rPr>
          <w:rFonts w:ascii="仿宋_GB2312" w:eastAsia="仿宋_GB2312" w:hAnsi="仿宋" w:cs="Arial" w:hint="eastAsia"/>
          <w:color w:val="333333"/>
          <w:kern w:val="0"/>
          <w:sz w:val="32"/>
          <w:szCs w:val="32"/>
        </w:rPr>
        <w:lastRenderedPageBreak/>
        <w:t>四、2021中国企业500强的申报与推荐：根据中国企业联合会的要求，凡是在中国境内注册，具有独立法人资格的企业，2020年完成营业收入达到260亿元（人民币）以上（含260亿元）的所有企业。不包括在华外资、港澳台独资、控股企业，也不包括行政性公司、政企合一的单位以及各类资产经营公司、烟草公司，但包括在境外注册、投资主体为中国自然人或法人、主要业务在境内的企业。</w:t>
      </w:r>
    </w:p>
    <w:p w14:paraId="344B249E" w14:textId="77777777" w:rsidR="00EF3940" w:rsidRPr="00EF3940" w:rsidRDefault="00EF3940" w:rsidP="00EF3940">
      <w:pPr>
        <w:widowControl/>
        <w:shd w:val="clear" w:color="auto" w:fill="FFFFFF"/>
        <w:spacing w:line="600" w:lineRule="atLeast"/>
        <w:ind w:right="180" w:firstLine="645"/>
        <w:rPr>
          <w:rFonts w:ascii="仿宋_GB2312" w:eastAsia="仿宋_GB2312" w:hAnsi="Arial" w:cs="Arial" w:hint="eastAsia"/>
          <w:color w:val="333333"/>
          <w:kern w:val="0"/>
          <w:sz w:val="32"/>
          <w:szCs w:val="32"/>
        </w:rPr>
      </w:pPr>
      <w:r w:rsidRPr="00EF3940">
        <w:rPr>
          <w:rFonts w:ascii="仿宋_GB2312" w:eastAsia="仿宋_GB2312" w:hAnsi="仿宋" w:cs="Arial" w:hint="eastAsia"/>
          <w:color w:val="333333"/>
          <w:kern w:val="0"/>
          <w:sz w:val="32"/>
          <w:szCs w:val="32"/>
        </w:rPr>
        <w:t>2021中国制造业企业500强的申报与推荐：凡是2020年完成销售收入达到70亿元（人民币）以上（含70亿元）的所有制造业企业，都有资格申报参加分析研究。</w:t>
      </w:r>
    </w:p>
    <w:p w14:paraId="41C890E6" w14:textId="77777777" w:rsidR="00EF3940" w:rsidRPr="00EF3940" w:rsidRDefault="00EF3940" w:rsidP="00EF3940">
      <w:pPr>
        <w:widowControl/>
        <w:shd w:val="clear" w:color="auto" w:fill="FFFFFF"/>
        <w:spacing w:line="600" w:lineRule="atLeast"/>
        <w:ind w:right="180" w:firstLine="645"/>
        <w:rPr>
          <w:rFonts w:ascii="仿宋_GB2312" w:eastAsia="仿宋_GB2312" w:hAnsi="Arial" w:cs="Arial" w:hint="eastAsia"/>
          <w:color w:val="333333"/>
          <w:kern w:val="0"/>
          <w:sz w:val="32"/>
          <w:szCs w:val="32"/>
        </w:rPr>
      </w:pPr>
      <w:r w:rsidRPr="00EF3940">
        <w:rPr>
          <w:rFonts w:ascii="仿宋_GB2312" w:eastAsia="仿宋_GB2312" w:hAnsi="仿宋" w:cs="Arial" w:hint="eastAsia"/>
          <w:color w:val="333333"/>
          <w:kern w:val="0"/>
          <w:sz w:val="32"/>
          <w:szCs w:val="32"/>
        </w:rPr>
        <w:t>2021中国服务业企业500强的申报与推荐：凡是2020年完成营业收入达到40亿元（人民币）以上（含40亿元）的所有服务业企业，都有资格申报参加分析研究。</w:t>
      </w:r>
    </w:p>
    <w:p w14:paraId="466B96AE" w14:textId="77777777" w:rsidR="00EF3940" w:rsidRPr="00EF3940" w:rsidRDefault="00EF3940" w:rsidP="00EF3940">
      <w:pPr>
        <w:widowControl/>
        <w:shd w:val="clear" w:color="auto" w:fill="FFFFFF"/>
        <w:spacing w:line="600" w:lineRule="atLeast"/>
        <w:ind w:right="180" w:firstLine="645"/>
        <w:rPr>
          <w:rFonts w:ascii="仿宋_GB2312" w:eastAsia="仿宋_GB2312" w:hAnsi="Arial" w:cs="Arial" w:hint="eastAsia"/>
          <w:color w:val="333333"/>
          <w:kern w:val="0"/>
          <w:sz w:val="32"/>
          <w:szCs w:val="32"/>
        </w:rPr>
      </w:pPr>
      <w:r w:rsidRPr="00EF3940">
        <w:rPr>
          <w:rFonts w:ascii="仿宋_GB2312" w:eastAsia="仿宋_GB2312" w:hAnsi="仿宋" w:cs="Arial" w:hint="eastAsia"/>
          <w:color w:val="333333"/>
          <w:kern w:val="0"/>
          <w:sz w:val="32"/>
          <w:szCs w:val="32"/>
        </w:rPr>
        <w:t>五、加强申报工作的联系和信息沟通。企业在申报过程中，如遇到问题，请与市企协综合管理部及时沟通联系，确保符合条件的所有企业都能参加申报。申报表一式三份。报送截止时间为2021年5月15日。申报表及其填报说明可从天津企联网</w:t>
      </w:r>
      <w:hyperlink r:id="rId4" w:history="1">
        <w:r w:rsidRPr="00EF3940">
          <w:rPr>
            <w:rFonts w:ascii="仿宋_GB2312" w:eastAsia="仿宋_GB2312" w:hAnsi="仿宋" w:cs="Arial" w:hint="eastAsia"/>
            <w:color w:val="000000"/>
            <w:kern w:val="0"/>
            <w:sz w:val="32"/>
            <w:szCs w:val="32"/>
            <w:u w:val="single"/>
          </w:rPr>
          <w:t>www.tjql.org</w:t>
        </w:r>
      </w:hyperlink>
      <w:r w:rsidRPr="00EF3940">
        <w:rPr>
          <w:rFonts w:ascii="仿宋_GB2312" w:eastAsia="仿宋_GB2312" w:hAnsi="仿宋" w:cs="Arial" w:hint="eastAsia"/>
          <w:color w:val="333333"/>
          <w:kern w:val="0"/>
          <w:sz w:val="32"/>
          <w:szCs w:val="32"/>
        </w:rPr>
        <w:t>下载。符合500强条件的企业同时登录www.cectop500.cn网站填写相关申报数据信息，进行网上申报。</w:t>
      </w:r>
    </w:p>
    <w:p w14:paraId="288063DC" w14:textId="77777777" w:rsidR="00EF3940" w:rsidRPr="00EF3940" w:rsidRDefault="00EF3940" w:rsidP="00EF3940">
      <w:pPr>
        <w:widowControl/>
        <w:shd w:val="clear" w:color="auto" w:fill="FFFFFF"/>
        <w:spacing w:line="600" w:lineRule="atLeast"/>
        <w:ind w:firstLine="645"/>
        <w:rPr>
          <w:rFonts w:ascii="仿宋_GB2312" w:eastAsia="仿宋_GB2312" w:hAnsi="Arial" w:cs="Arial" w:hint="eastAsia"/>
          <w:color w:val="333333"/>
          <w:kern w:val="0"/>
          <w:sz w:val="32"/>
          <w:szCs w:val="32"/>
        </w:rPr>
      </w:pPr>
      <w:r w:rsidRPr="00EF3940">
        <w:rPr>
          <w:rFonts w:ascii="仿宋_GB2312" w:eastAsia="仿宋_GB2312" w:hAnsi="仿宋" w:cs="Arial" w:hint="eastAsia"/>
          <w:color w:val="333333"/>
          <w:kern w:val="0"/>
          <w:sz w:val="32"/>
          <w:szCs w:val="32"/>
        </w:rPr>
        <w:t>联系人：</w:t>
      </w:r>
      <w:r w:rsidRPr="00EF3940">
        <w:rPr>
          <w:rFonts w:ascii="仿宋_GB2312" w:eastAsia="仿宋_GB2312" w:hAnsi="Calibri" w:cs="Calibri" w:hint="eastAsia"/>
          <w:color w:val="333333"/>
          <w:kern w:val="0"/>
          <w:sz w:val="32"/>
          <w:szCs w:val="32"/>
        </w:rPr>
        <w:t> </w:t>
      </w:r>
      <w:r w:rsidRPr="00EF3940">
        <w:rPr>
          <w:rFonts w:ascii="仿宋_GB2312" w:eastAsia="仿宋_GB2312" w:hAnsi="仿宋" w:cs="Arial" w:hint="eastAsia"/>
          <w:color w:val="333333"/>
          <w:kern w:val="0"/>
          <w:sz w:val="32"/>
          <w:szCs w:val="32"/>
        </w:rPr>
        <w:t>天津市企业联合会/企业家协会综合管理部 张笑萌</w:t>
      </w:r>
    </w:p>
    <w:p w14:paraId="6083AFCF" w14:textId="77777777" w:rsidR="00EF3940" w:rsidRPr="00EF3940" w:rsidRDefault="00EF3940" w:rsidP="00EF3940">
      <w:pPr>
        <w:widowControl/>
        <w:shd w:val="clear" w:color="auto" w:fill="FFFFFF"/>
        <w:spacing w:line="600" w:lineRule="atLeast"/>
        <w:ind w:firstLine="645"/>
        <w:rPr>
          <w:rFonts w:ascii="仿宋_GB2312" w:eastAsia="仿宋_GB2312" w:hAnsi="Arial" w:cs="Arial" w:hint="eastAsia"/>
          <w:color w:val="333333"/>
          <w:kern w:val="0"/>
          <w:sz w:val="32"/>
          <w:szCs w:val="32"/>
        </w:rPr>
      </w:pPr>
      <w:r w:rsidRPr="00EF3940">
        <w:rPr>
          <w:rFonts w:ascii="仿宋_GB2312" w:eastAsia="仿宋_GB2312" w:hAnsi="仿宋" w:cs="Arial" w:hint="eastAsia"/>
          <w:color w:val="333333"/>
          <w:kern w:val="0"/>
          <w:sz w:val="32"/>
          <w:szCs w:val="32"/>
        </w:rPr>
        <w:lastRenderedPageBreak/>
        <w:t>联系电话：</w:t>
      </w:r>
      <w:r w:rsidRPr="00EF3940">
        <w:rPr>
          <w:rFonts w:ascii="仿宋_GB2312" w:eastAsia="仿宋_GB2312" w:hAnsi="Calibri" w:cs="Calibri" w:hint="eastAsia"/>
          <w:color w:val="333333"/>
          <w:kern w:val="0"/>
          <w:sz w:val="32"/>
          <w:szCs w:val="32"/>
        </w:rPr>
        <w:t> </w:t>
      </w:r>
      <w:r w:rsidRPr="00EF3940">
        <w:rPr>
          <w:rFonts w:ascii="仿宋_GB2312" w:eastAsia="仿宋_GB2312" w:hAnsi="仿宋" w:cs="Arial" w:hint="eastAsia"/>
          <w:color w:val="333333"/>
          <w:kern w:val="0"/>
          <w:sz w:val="32"/>
          <w:szCs w:val="32"/>
        </w:rPr>
        <w:t xml:space="preserve">23515490 </w:t>
      </w:r>
      <w:r w:rsidRPr="00EF3940">
        <w:rPr>
          <w:rFonts w:ascii="仿宋_GB2312" w:eastAsia="仿宋_GB2312" w:hAnsi="Calibri" w:cs="Calibri" w:hint="eastAsia"/>
          <w:color w:val="333333"/>
          <w:kern w:val="0"/>
          <w:sz w:val="32"/>
          <w:szCs w:val="32"/>
        </w:rPr>
        <w:t>  </w:t>
      </w:r>
      <w:r w:rsidRPr="00EF3940">
        <w:rPr>
          <w:rFonts w:ascii="仿宋_GB2312" w:eastAsia="仿宋_GB2312" w:hAnsi="仿宋" w:cs="Arial" w:hint="eastAsia"/>
          <w:color w:val="333333"/>
          <w:kern w:val="0"/>
          <w:sz w:val="32"/>
          <w:szCs w:val="32"/>
        </w:rPr>
        <w:t>15522017859</w:t>
      </w:r>
    </w:p>
    <w:p w14:paraId="36FC7D94" w14:textId="77777777" w:rsidR="00EF3940" w:rsidRPr="00EF3940" w:rsidRDefault="00EF3940" w:rsidP="00EF3940">
      <w:pPr>
        <w:widowControl/>
        <w:shd w:val="clear" w:color="auto" w:fill="FFFFFF"/>
        <w:spacing w:line="600" w:lineRule="atLeast"/>
        <w:ind w:firstLine="645"/>
        <w:rPr>
          <w:rFonts w:ascii="仿宋_GB2312" w:eastAsia="仿宋_GB2312" w:hAnsi="Arial" w:cs="Arial" w:hint="eastAsia"/>
          <w:color w:val="333333"/>
          <w:kern w:val="0"/>
          <w:sz w:val="32"/>
          <w:szCs w:val="32"/>
        </w:rPr>
      </w:pPr>
      <w:r w:rsidRPr="00EF3940">
        <w:rPr>
          <w:rFonts w:ascii="仿宋_GB2312" w:eastAsia="仿宋_GB2312" w:hAnsi="仿宋" w:cs="Arial" w:hint="eastAsia"/>
          <w:color w:val="333333"/>
          <w:kern w:val="0"/>
          <w:sz w:val="32"/>
          <w:szCs w:val="32"/>
        </w:rPr>
        <w:t xml:space="preserve">电子邮箱: </w:t>
      </w:r>
      <w:r w:rsidRPr="00EF3940">
        <w:rPr>
          <w:rFonts w:ascii="仿宋_GB2312" w:eastAsia="仿宋_GB2312" w:hAnsi="Calibri" w:cs="Calibri" w:hint="eastAsia"/>
          <w:color w:val="333333"/>
          <w:kern w:val="0"/>
          <w:sz w:val="32"/>
          <w:szCs w:val="32"/>
        </w:rPr>
        <w:t> </w:t>
      </w:r>
      <w:r w:rsidRPr="00EF3940">
        <w:rPr>
          <w:rFonts w:ascii="仿宋_GB2312" w:eastAsia="仿宋_GB2312" w:hAnsi="仿宋" w:cs="Arial" w:hint="eastAsia"/>
          <w:color w:val="333333"/>
          <w:kern w:val="0"/>
          <w:sz w:val="32"/>
          <w:szCs w:val="32"/>
        </w:rPr>
        <w:t>670715912@qq.com</w:t>
      </w:r>
    </w:p>
    <w:p w14:paraId="0F6A6764" w14:textId="77777777" w:rsidR="00EF3940" w:rsidRPr="00EF3940" w:rsidRDefault="00EF3940" w:rsidP="00EF3940">
      <w:pPr>
        <w:widowControl/>
        <w:shd w:val="clear" w:color="auto" w:fill="FFFFFF"/>
        <w:spacing w:line="600" w:lineRule="atLeast"/>
        <w:ind w:firstLine="645"/>
        <w:rPr>
          <w:rFonts w:ascii="仿宋_GB2312" w:eastAsia="仿宋_GB2312" w:hAnsi="Arial" w:cs="Arial" w:hint="eastAsia"/>
          <w:color w:val="333333"/>
          <w:kern w:val="0"/>
          <w:sz w:val="32"/>
          <w:szCs w:val="32"/>
        </w:rPr>
      </w:pPr>
      <w:r w:rsidRPr="00EF3940">
        <w:rPr>
          <w:rFonts w:ascii="仿宋_GB2312" w:eastAsia="仿宋_GB2312" w:hAnsi="仿宋" w:cs="Arial" w:hint="eastAsia"/>
          <w:color w:val="333333"/>
          <w:kern w:val="0"/>
          <w:sz w:val="32"/>
          <w:szCs w:val="32"/>
        </w:rPr>
        <w:t>报送地址：天津市企业联合会/企业家协会综合管理部</w:t>
      </w:r>
      <w:r w:rsidRPr="00EF3940">
        <w:rPr>
          <w:rFonts w:ascii="仿宋_GB2312" w:eastAsia="仿宋_GB2312" w:hAnsi="Calibri" w:cs="Calibri" w:hint="eastAsia"/>
          <w:color w:val="333333"/>
          <w:kern w:val="0"/>
          <w:sz w:val="32"/>
          <w:szCs w:val="32"/>
        </w:rPr>
        <w:t> </w:t>
      </w:r>
      <w:r w:rsidRPr="00EF3940">
        <w:rPr>
          <w:rFonts w:ascii="仿宋_GB2312" w:eastAsia="仿宋_GB2312" w:hAnsi="仿宋" w:cs="Arial" w:hint="eastAsia"/>
          <w:color w:val="333333"/>
          <w:kern w:val="0"/>
          <w:sz w:val="32"/>
          <w:szCs w:val="32"/>
        </w:rPr>
        <w:t>南开区水上公园北道26号B座409室</w:t>
      </w:r>
    </w:p>
    <w:p w14:paraId="017415D0" w14:textId="77777777" w:rsidR="0078310C" w:rsidRPr="00EF3940" w:rsidRDefault="0078310C" w:rsidP="00EF3940">
      <w:pPr>
        <w:rPr>
          <w:rFonts w:ascii="仿宋_GB2312" w:eastAsia="仿宋_GB2312" w:hint="eastAsia"/>
          <w:sz w:val="32"/>
          <w:szCs w:val="32"/>
        </w:rPr>
      </w:pPr>
    </w:p>
    <w:sectPr w:rsidR="0078310C" w:rsidRPr="00EF3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224"/>
    <w:rsid w:val="00740224"/>
    <w:rsid w:val="0078310C"/>
    <w:rsid w:val="00EF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7B3E"/>
  <w15:chartTrackingRefBased/>
  <w15:docId w15:val="{91C87009-6FB7-4F82-93C9-5C7F7352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394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F3940"/>
    <w:rPr>
      <w:b/>
      <w:bCs/>
    </w:rPr>
  </w:style>
  <w:style w:type="character" w:styleId="a5">
    <w:name w:val="Hyperlink"/>
    <w:basedOn w:val="a0"/>
    <w:uiPriority w:val="99"/>
    <w:semiHidden/>
    <w:unhideWhenUsed/>
    <w:rsid w:val="00EF3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7572">
      <w:bodyDiv w:val="1"/>
      <w:marLeft w:val="0"/>
      <w:marRight w:val="0"/>
      <w:marTop w:val="0"/>
      <w:marBottom w:val="0"/>
      <w:divBdr>
        <w:top w:val="none" w:sz="0" w:space="0" w:color="auto"/>
        <w:left w:val="none" w:sz="0" w:space="0" w:color="auto"/>
        <w:bottom w:val="none" w:sz="0" w:space="0" w:color="auto"/>
        <w:right w:val="none" w:sz="0" w:space="0" w:color="auto"/>
      </w:divBdr>
      <w:divsChild>
        <w:div w:id="60567501">
          <w:marLeft w:val="0"/>
          <w:marRight w:val="0"/>
          <w:marTop w:val="0"/>
          <w:marBottom w:val="375"/>
          <w:divBdr>
            <w:top w:val="none" w:sz="0" w:space="0" w:color="auto"/>
            <w:left w:val="none" w:sz="0" w:space="0" w:color="auto"/>
            <w:bottom w:val="single" w:sz="6" w:space="15" w:color="F3F3F3"/>
            <w:right w:val="none" w:sz="0" w:space="0" w:color="auto"/>
          </w:divBdr>
          <w:divsChild>
            <w:div w:id="1919123247">
              <w:marLeft w:val="0"/>
              <w:marRight w:val="0"/>
              <w:marTop w:val="0"/>
              <w:marBottom w:val="0"/>
              <w:divBdr>
                <w:top w:val="none" w:sz="0" w:space="0" w:color="auto"/>
                <w:left w:val="none" w:sz="0" w:space="0" w:color="auto"/>
                <w:bottom w:val="none" w:sz="0" w:space="0" w:color="auto"/>
                <w:right w:val="none" w:sz="0" w:space="0" w:color="auto"/>
              </w:divBdr>
            </w:div>
            <w:div w:id="1419868235">
              <w:marLeft w:val="0"/>
              <w:marRight w:val="0"/>
              <w:marTop w:val="0"/>
              <w:marBottom w:val="0"/>
              <w:divBdr>
                <w:top w:val="none" w:sz="0" w:space="0" w:color="auto"/>
                <w:left w:val="none" w:sz="0" w:space="0" w:color="auto"/>
                <w:bottom w:val="none" w:sz="0" w:space="0" w:color="auto"/>
                <w:right w:val="none" w:sz="0" w:space="0" w:color="auto"/>
              </w:divBdr>
            </w:div>
          </w:divsChild>
        </w:div>
        <w:div w:id="1468626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jql.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温情情</dc:creator>
  <cp:keywords/>
  <dc:description/>
  <cp:lastModifiedBy>温情情</cp:lastModifiedBy>
  <cp:revision>2</cp:revision>
  <dcterms:created xsi:type="dcterms:W3CDTF">2021-04-07T01:02:00Z</dcterms:created>
  <dcterms:modified xsi:type="dcterms:W3CDTF">2021-04-07T01:03:00Z</dcterms:modified>
</cp:coreProperties>
</file>