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pacing w:val="-11"/>
          <w:sz w:val="32"/>
          <w:szCs w:val="32"/>
          <w:lang w:eastAsia="zh-CN"/>
        </w:rPr>
      </w:pPr>
      <w:r>
        <w:rPr>
          <w:rFonts w:hint="eastAsia" w:ascii="黑体" w:hAnsi="黑体" w:eastAsia="黑体" w:cs="黑体"/>
          <w:spacing w:val="-11"/>
          <w:sz w:val="32"/>
          <w:szCs w:val="32"/>
          <w:lang w:eastAsia="zh-CN"/>
        </w:rPr>
        <w:t>附件</w:t>
      </w:r>
      <w:bookmarkStart w:id="0" w:name="_GoBack"/>
      <w:bookmarkEnd w:id="0"/>
    </w:p>
    <w:p>
      <w:pPr>
        <w:jc w:val="center"/>
        <w:rPr>
          <w:rFonts w:ascii="方正小标宋简体" w:eastAsia="方正小标宋简体"/>
          <w:spacing w:val="-11"/>
          <w:sz w:val="44"/>
          <w:szCs w:val="44"/>
        </w:rPr>
      </w:pPr>
      <w:r>
        <w:rPr>
          <w:rFonts w:hint="eastAsia" w:ascii="方正小标宋简体" w:eastAsia="方正小标宋简体"/>
          <w:spacing w:val="-11"/>
          <w:sz w:val="44"/>
          <w:szCs w:val="44"/>
        </w:rPr>
        <w:t>20</w:t>
      </w:r>
      <w:r>
        <w:rPr>
          <w:rFonts w:hint="eastAsia" w:ascii="方正小标宋简体" w:eastAsia="方正小标宋简体"/>
          <w:spacing w:val="-11"/>
          <w:sz w:val="44"/>
          <w:szCs w:val="44"/>
          <w:lang w:val="en-US" w:eastAsia="zh-CN"/>
        </w:rPr>
        <w:t>20</w:t>
      </w:r>
      <w:r>
        <w:rPr>
          <w:rFonts w:hint="eastAsia" w:ascii="方正小标宋简体" w:eastAsia="方正小标宋简体"/>
          <w:spacing w:val="-11"/>
          <w:sz w:val="44"/>
          <w:szCs w:val="44"/>
        </w:rPr>
        <w:t>年度</w:t>
      </w:r>
      <w:r>
        <w:rPr>
          <w:rFonts w:hint="eastAsia" w:ascii="方正小标宋简体" w:eastAsia="方正小标宋简体"/>
          <w:spacing w:val="-11"/>
          <w:sz w:val="44"/>
          <w:szCs w:val="44"/>
          <w:lang w:val="en-US" w:eastAsia="zh-CN"/>
        </w:rPr>
        <w:t>落实</w:t>
      </w:r>
      <w:r>
        <w:rPr>
          <w:rFonts w:hint="eastAsia" w:ascii="方正小标宋简体" w:eastAsia="方正小标宋简体"/>
          <w:spacing w:val="-11"/>
          <w:sz w:val="44"/>
          <w:szCs w:val="44"/>
        </w:rPr>
        <w:t>全面从严治党主体责任及</w:t>
      </w:r>
      <w:r>
        <w:rPr>
          <w:rFonts w:hint="eastAsia" w:ascii="方正小标宋简体" w:eastAsia="方正小标宋简体"/>
          <w:spacing w:val="-11"/>
          <w:sz w:val="44"/>
          <w:szCs w:val="44"/>
          <w:lang w:val="en-US" w:eastAsia="zh-CN"/>
        </w:rPr>
        <w:t>抓</w:t>
      </w:r>
      <w:r>
        <w:rPr>
          <w:rFonts w:hint="eastAsia" w:ascii="方正小标宋简体" w:eastAsia="方正小标宋简体"/>
          <w:spacing w:val="-11"/>
          <w:sz w:val="44"/>
          <w:szCs w:val="44"/>
        </w:rPr>
        <w:t>基层党建</w:t>
      </w:r>
      <w:r>
        <w:rPr>
          <w:rFonts w:hint="eastAsia" w:ascii="方正小标宋简体" w:eastAsia="方正小标宋简体"/>
          <w:spacing w:val="-11"/>
          <w:sz w:val="44"/>
          <w:szCs w:val="44"/>
          <w:lang w:val="en-US" w:eastAsia="zh-CN"/>
        </w:rPr>
        <w:t>工作</w:t>
      </w:r>
      <w:r>
        <w:rPr>
          <w:rFonts w:hint="eastAsia" w:ascii="方正小标宋简体" w:eastAsia="方正小标宋简体"/>
          <w:spacing w:val="-11"/>
          <w:sz w:val="44"/>
          <w:szCs w:val="44"/>
        </w:rPr>
        <w:t>述职评议考核评分细则</w:t>
      </w:r>
    </w:p>
    <w:tbl>
      <w:tblPr>
        <w:tblStyle w:val="4"/>
        <w:tblW w:w="147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50"/>
        <w:gridCol w:w="705"/>
        <w:gridCol w:w="795"/>
        <w:gridCol w:w="4038"/>
        <w:gridCol w:w="3969"/>
        <w:gridCol w:w="3318"/>
        <w:gridCol w:w="11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0" w:hRule="atLeast"/>
          <w:jc w:val="center"/>
        </w:trPr>
        <w:tc>
          <w:tcPr>
            <w:tcW w:w="750" w:type="dxa"/>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rPr>
              <w:t>项目</w:t>
            </w:r>
          </w:p>
        </w:tc>
        <w:tc>
          <w:tcPr>
            <w:tcW w:w="705" w:type="dxa"/>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rPr>
              <w:t>内容</w:t>
            </w:r>
          </w:p>
        </w:tc>
        <w:tc>
          <w:tcPr>
            <w:tcW w:w="795" w:type="dxa"/>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分值</w:t>
            </w:r>
          </w:p>
        </w:tc>
        <w:tc>
          <w:tcPr>
            <w:tcW w:w="4038" w:type="dxa"/>
            <w:tcBorders>
              <w:bottom w:val="single" w:color="auto" w:sz="4" w:space="0"/>
            </w:tcBorders>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rPr>
              <w:t>评分标准</w:t>
            </w:r>
          </w:p>
        </w:tc>
        <w:tc>
          <w:tcPr>
            <w:tcW w:w="3969" w:type="dxa"/>
            <w:tcBorders>
              <w:bottom w:val="single" w:color="auto" w:sz="4" w:space="0"/>
            </w:tcBorders>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扣分标准</w:t>
            </w:r>
          </w:p>
        </w:tc>
        <w:tc>
          <w:tcPr>
            <w:tcW w:w="3318" w:type="dxa"/>
            <w:tcBorders>
              <w:bottom w:val="single" w:color="auto" w:sz="4" w:space="0"/>
            </w:tcBorders>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考核方式及需提供的</w:t>
            </w:r>
          </w:p>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佐证材料</w:t>
            </w:r>
          </w:p>
        </w:tc>
        <w:tc>
          <w:tcPr>
            <w:tcW w:w="1131" w:type="dxa"/>
            <w:noWrap/>
            <w:vAlign w:val="center"/>
          </w:tcPr>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被考核</w:t>
            </w:r>
          </w:p>
          <w:p>
            <w:pPr>
              <w:widowControl/>
              <w:spacing w:line="280" w:lineRule="exact"/>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0" w:hRule="atLeast"/>
          <w:jc w:val="center"/>
        </w:trPr>
        <w:tc>
          <w:tcPr>
            <w:tcW w:w="750" w:type="dxa"/>
            <w:vMerge w:val="restart"/>
            <w:noWrap/>
            <w:vAlign w:val="center"/>
          </w:tcPr>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right="-107" w:rightChars="-51"/>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落</w:t>
            </w: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实</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全</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面</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从</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严</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治</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党</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主</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体</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责</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任</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考</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核</w:t>
            </w: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left="-92" w:leftChars="-44" w:right="-107" w:rightChars="-51"/>
              <w:jc w:val="center"/>
              <w:textAlignment w:val="center"/>
              <w:rPr>
                <w:rFonts w:ascii="楷体_GB2312" w:hAnsi="宋体" w:eastAsia="楷体_GB2312" w:cs="楷体_GB2312"/>
                <w:color w:val="000000"/>
                <w:szCs w:val="21"/>
                <w:highlight w:val="yellow"/>
              </w:rPr>
            </w:pPr>
          </w:p>
          <w:p>
            <w:pPr>
              <w:spacing w:line="320" w:lineRule="exact"/>
              <w:ind w:right="-107" w:rightChars="-51"/>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落</w:t>
            </w: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实</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全</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面</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从</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严</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治</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党</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主</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体</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责</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 xml:space="preserve">任 </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 xml:space="preserve">考 </w:t>
            </w:r>
          </w:p>
          <w:p>
            <w:pPr>
              <w:spacing w:line="320" w:lineRule="exact"/>
              <w:ind w:left="-92" w:leftChars="-44" w:right="-107" w:rightChars="-51"/>
              <w:jc w:val="center"/>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核</w:t>
            </w: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right="-107" w:rightChars="-51"/>
              <w:textAlignment w:val="center"/>
              <w:rPr>
                <w:rFonts w:ascii="楷体_GB2312" w:hAnsi="宋体" w:eastAsia="楷体_GB2312" w:cs="楷体_GB2312"/>
                <w:color w:val="000000"/>
                <w:szCs w:val="21"/>
              </w:rPr>
            </w:pPr>
          </w:p>
          <w:p>
            <w:pPr>
              <w:spacing w:line="320" w:lineRule="exact"/>
              <w:ind w:left="-92" w:leftChars="-44" w:right="-107" w:rightChars="-51"/>
              <w:textAlignment w:val="center"/>
              <w:rPr>
                <w:rFonts w:ascii="楷体_GB2312" w:hAnsi="宋体" w:eastAsia="楷体_GB2312" w:cs="楷体_GB2312"/>
                <w:color w:val="000000"/>
                <w:szCs w:val="21"/>
              </w:rPr>
            </w:pPr>
          </w:p>
          <w:p>
            <w:pPr>
              <w:spacing w:line="320" w:lineRule="exact"/>
              <w:ind w:left="-92" w:leftChars="-44" w:right="-107" w:rightChars="-51"/>
              <w:textAlignment w:val="center"/>
              <w:rPr>
                <w:rFonts w:ascii="楷体_GB2312" w:hAnsi="宋体" w:eastAsia="楷体_GB2312" w:cs="楷体_GB2312"/>
                <w:color w:val="000000"/>
                <w:szCs w:val="21"/>
              </w:rPr>
            </w:pPr>
          </w:p>
          <w:p>
            <w:pPr>
              <w:spacing w:line="320" w:lineRule="exact"/>
              <w:ind w:left="-92" w:leftChars="-44" w:right="-107" w:rightChars="-51"/>
              <w:textAlignment w:val="center"/>
              <w:rPr>
                <w:rFonts w:ascii="楷体_GB2312" w:hAnsi="宋体" w:eastAsia="楷体_GB2312" w:cs="楷体_GB2312"/>
                <w:color w:val="000000"/>
                <w:szCs w:val="21"/>
              </w:rPr>
            </w:pPr>
          </w:p>
          <w:p>
            <w:pPr>
              <w:spacing w:line="320" w:lineRule="exact"/>
              <w:ind w:left="-92" w:leftChars="-44" w:right="-107" w:rightChars="-51"/>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落</w:t>
            </w: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实</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全</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面</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从</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严</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治</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党</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主</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体</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责</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 xml:space="preserve">任 </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 xml:space="preserve">考 </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核</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ascii="楷体_GB2312" w:hAnsi="宋体" w:eastAsia="楷体_GB2312" w:cs="楷体_GB2312"/>
                <w:color w:val="000000"/>
                <w:szCs w:val="21"/>
              </w:rPr>
            </w:pPr>
          </w:p>
          <w:p>
            <w:pPr>
              <w:spacing w:line="320" w:lineRule="exact"/>
              <w:ind w:right="-107" w:rightChars="-51"/>
              <w:jc w:val="both"/>
              <w:textAlignment w:val="center"/>
              <w:rPr>
                <w:rFonts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p>
            <w:pPr>
              <w:spacing w:line="320" w:lineRule="exact"/>
              <w:ind w:right="-107" w:rightChars="-51" w:firstLine="210" w:firstLineChars="100"/>
              <w:jc w:val="both"/>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落</w:t>
            </w:r>
          </w:p>
          <w:p>
            <w:pPr>
              <w:spacing w:line="320" w:lineRule="exact"/>
              <w:ind w:left="-92" w:leftChars="-44" w:right="-107" w:rightChars="-51"/>
              <w:jc w:val="center"/>
              <w:textAlignment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实</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全</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面</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从</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严</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治</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党</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主</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体</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责</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 xml:space="preserve">任 </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 xml:space="preserve">考 </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r>
              <w:rPr>
                <w:rFonts w:hint="eastAsia" w:ascii="楷体_GB2312" w:hAnsi="宋体" w:eastAsia="楷体_GB2312" w:cs="楷体_GB2312"/>
                <w:color w:val="000000"/>
                <w:szCs w:val="21"/>
              </w:rPr>
              <w:t>核</w:t>
            </w: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p>
            <w:pPr>
              <w:spacing w:line="320" w:lineRule="exact"/>
              <w:ind w:left="-92" w:leftChars="-44" w:right="-107" w:rightChars="-51"/>
              <w:jc w:val="center"/>
              <w:textAlignment w:val="center"/>
              <w:rPr>
                <w:rFonts w:hint="eastAsia" w:ascii="楷体_GB2312" w:hAnsi="宋体" w:eastAsia="楷体_GB2312" w:cs="楷体_GB2312"/>
                <w:color w:val="000000"/>
                <w:szCs w:val="21"/>
              </w:rPr>
            </w:pPr>
          </w:p>
        </w:tc>
        <w:tc>
          <w:tcPr>
            <w:tcW w:w="705" w:type="dxa"/>
            <w:noWrap/>
            <w:vAlign w:val="center"/>
          </w:tcPr>
          <w:p>
            <w:pPr>
              <w:widowControl/>
              <w:spacing w:line="320" w:lineRule="exact"/>
              <w:jc w:val="center"/>
              <w:rPr>
                <w:rFonts w:hint="eastAsia" w:ascii="楷体_GB2312" w:eastAsia="仿宋_GB2312" w:cs="宋体"/>
                <w:kern w:val="0"/>
                <w:szCs w:val="21"/>
                <w:lang w:val="en-US" w:eastAsia="zh-CN"/>
              </w:rPr>
            </w:pPr>
            <w:r>
              <w:rPr>
                <w:rFonts w:hint="eastAsia" w:ascii="楷体_GB2312" w:hAnsi="宋体" w:eastAsia="楷体_GB2312" w:cs="楷体_GB2312"/>
                <w:color w:val="000000"/>
                <w:szCs w:val="21"/>
              </w:rPr>
              <w:t>专题研究部署</w:t>
            </w:r>
            <w:r>
              <w:rPr>
                <w:rFonts w:hint="eastAsia" w:ascii="楷体_GB2312" w:hAnsi="宋体" w:eastAsia="楷体_GB2312" w:cs="楷体_GB2312"/>
                <w:color w:val="000000"/>
                <w:szCs w:val="21"/>
                <w:lang w:val="en-US" w:eastAsia="zh-CN"/>
              </w:rPr>
              <w:t>情况</w:t>
            </w:r>
          </w:p>
        </w:tc>
        <w:tc>
          <w:tcPr>
            <w:tcW w:w="795" w:type="dxa"/>
            <w:noWrap/>
            <w:vAlign w:val="center"/>
          </w:tcPr>
          <w:p>
            <w:pPr>
              <w:widowControl/>
              <w:spacing w:line="320" w:lineRule="exact"/>
              <w:jc w:val="center"/>
              <w:rPr>
                <w:rFonts w:ascii="楷体_GB2312" w:eastAsia="楷体_GB2312" w:cs="宋体"/>
                <w:kern w:val="0"/>
                <w:szCs w:val="21"/>
              </w:rPr>
            </w:pPr>
            <w:r>
              <w:rPr>
                <w:rFonts w:hint="eastAsia" w:ascii="楷体_GB2312" w:eastAsia="楷体_GB2312" w:cs="宋体"/>
                <w:kern w:val="0"/>
                <w:szCs w:val="21"/>
              </w:rPr>
              <w:t>5</w:t>
            </w:r>
          </w:p>
        </w:tc>
        <w:tc>
          <w:tcPr>
            <w:tcW w:w="4038" w:type="dxa"/>
            <w:noWrap/>
            <w:vAlign w:val="center"/>
          </w:tcPr>
          <w:p>
            <w:pPr>
              <w:widowControl/>
              <w:spacing w:line="320" w:lineRule="exact"/>
              <w:jc w:val="left"/>
              <w:rPr>
                <w:rFonts w:hint="eastAsia" w:ascii="楷体_GB2312" w:hAnsi="宋体" w:eastAsia="楷体_GB2312" w:cs="楷体_GB2312"/>
                <w:color w:val="000000"/>
                <w:szCs w:val="21"/>
                <w:lang w:eastAsia="zh-CN"/>
              </w:rPr>
            </w:pPr>
            <w:r>
              <w:rPr>
                <w:rFonts w:hint="eastAsia" w:ascii="楷体_GB2312" w:hAnsi="宋体" w:eastAsia="楷体_GB2312" w:cs="楷体_GB2312"/>
                <w:color w:val="000000"/>
                <w:szCs w:val="21"/>
              </w:rPr>
              <w:t>1.是否每半年至少专题研究一次全面从严治党工作</w:t>
            </w:r>
            <w:r>
              <w:rPr>
                <w:rFonts w:hint="eastAsia" w:ascii="楷体_GB2312" w:hAnsi="宋体" w:eastAsia="楷体_GB2312" w:cs="楷体_GB2312"/>
                <w:color w:val="000000"/>
                <w:szCs w:val="21"/>
                <w:lang w:eastAsia="zh-CN"/>
              </w:rPr>
              <w:t>，</w:t>
            </w:r>
            <w:r>
              <w:rPr>
                <w:rFonts w:hint="eastAsia" w:ascii="楷体_GB2312" w:hAnsi="宋体" w:eastAsia="楷体_GB2312" w:cs="楷体_GB2312"/>
                <w:color w:val="000000"/>
                <w:szCs w:val="21"/>
              </w:rPr>
              <w:t>专题研究是否坚持问题导向，分析研判</w:t>
            </w:r>
            <w:r>
              <w:rPr>
                <w:rFonts w:hint="eastAsia" w:ascii="楷体_GB2312" w:hAnsi="宋体" w:eastAsia="楷体_GB2312" w:cs="楷体_GB2312"/>
                <w:color w:val="000000"/>
                <w:szCs w:val="21"/>
                <w:lang w:val="en-US" w:eastAsia="zh-CN"/>
              </w:rPr>
              <w:t>本部门（</w:t>
            </w:r>
            <w:r>
              <w:rPr>
                <w:rFonts w:hint="eastAsia" w:ascii="楷体_GB2312" w:hAnsi="宋体" w:eastAsia="楷体_GB2312" w:cs="楷体_GB2312"/>
                <w:color w:val="000000"/>
                <w:szCs w:val="21"/>
              </w:rPr>
              <w:t>单位</w:t>
            </w:r>
            <w:r>
              <w:rPr>
                <w:rFonts w:hint="eastAsia" w:ascii="楷体_GB2312" w:hAnsi="宋体" w:eastAsia="楷体_GB2312" w:cs="楷体_GB2312"/>
                <w:color w:val="000000"/>
                <w:szCs w:val="21"/>
                <w:lang w:val="en-US" w:eastAsia="zh-CN"/>
              </w:rPr>
              <w:t>）</w:t>
            </w:r>
            <w:r>
              <w:rPr>
                <w:rFonts w:hint="eastAsia" w:ascii="楷体_GB2312" w:hAnsi="宋体" w:eastAsia="楷体_GB2312" w:cs="楷体_GB2312"/>
                <w:color w:val="000000"/>
                <w:szCs w:val="21"/>
              </w:rPr>
              <w:t>情况，研究解决存在问题</w:t>
            </w:r>
            <w:r>
              <w:rPr>
                <w:rFonts w:hint="eastAsia" w:ascii="楷体_GB2312" w:hAnsi="宋体" w:eastAsia="楷体_GB2312" w:cs="楷体_GB2312"/>
                <w:color w:val="000000"/>
                <w:szCs w:val="21"/>
                <w:lang w:eastAsia="zh-CN"/>
              </w:rPr>
              <w:t>；</w:t>
            </w:r>
          </w:p>
          <w:p>
            <w:pPr>
              <w:widowControl/>
              <w:spacing w:line="320" w:lineRule="exact"/>
              <w:jc w:val="left"/>
              <w:rPr>
                <w:rFonts w:hint="default"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2</w:t>
            </w:r>
            <w:r>
              <w:rPr>
                <w:rFonts w:hint="eastAsia" w:ascii="楷体_GB2312" w:hAnsi="宋体" w:eastAsia="楷体_GB2312" w:cs="楷体_GB2312"/>
                <w:color w:val="000000"/>
                <w:szCs w:val="21"/>
              </w:rPr>
              <w:t>.</w:t>
            </w:r>
            <w:r>
              <w:rPr>
                <w:rFonts w:hint="eastAsia" w:ascii="楷体_GB2312" w:hAnsi="宋体" w:eastAsia="楷体_GB2312" w:cs="楷体_GB2312"/>
                <w:color w:val="000000"/>
                <w:szCs w:val="21"/>
                <w:lang w:val="en-US" w:eastAsia="zh-CN"/>
              </w:rPr>
              <w:t>是否坚持把党建工作与全面从严治党工作同谋划、同部署、同推进，加强对全面从严治党工作的领导。</w:t>
            </w:r>
          </w:p>
        </w:tc>
        <w:tc>
          <w:tcPr>
            <w:tcW w:w="3969" w:type="dxa"/>
            <w:tcBorders>
              <w:bottom w:val="single" w:color="auto" w:sz="4" w:space="0"/>
            </w:tcBorders>
            <w:noWrap/>
            <w:vAlign w:val="center"/>
          </w:tcPr>
          <w:p>
            <w:pPr>
              <w:spacing w:line="320" w:lineRule="exact"/>
              <w:jc w:val="both"/>
              <w:textAlignment w:val="center"/>
              <w:rPr>
                <w:rFonts w:hint="eastAsia" w:ascii="楷体_GB2312" w:hAnsi="宋体" w:eastAsia="楷体_GB2312" w:cs="楷体_GB2312"/>
                <w:szCs w:val="21"/>
                <w:lang w:eastAsia="zh-CN"/>
              </w:rPr>
            </w:pPr>
            <w:r>
              <w:rPr>
                <w:rFonts w:hint="eastAsia" w:ascii="楷体_GB2312" w:hAnsi="宋体" w:eastAsia="楷体_GB2312" w:cs="楷体_GB2312"/>
                <w:szCs w:val="21"/>
              </w:rPr>
              <w:t>①未结合实际对本部门</w:t>
            </w:r>
            <w:r>
              <w:rPr>
                <w:rFonts w:hint="eastAsia" w:ascii="楷体_GB2312" w:hAnsi="宋体" w:eastAsia="楷体_GB2312" w:cs="楷体_GB2312"/>
                <w:szCs w:val="21"/>
                <w:lang w:eastAsia="zh-CN"/>
              </w:rPr>
              <w:t>（</w:t>
            </w:r>
            <w:r>
              <w:rPr>
                <w:rFonts w:hint="eastAsia" w:ascii="楷体_GB2312" w:hAnsi="宋体" w:eastAsia="楷体_GB2312" w:cs="楷体_GB2312"/>
                <w:szCs w:val="21"/>
              </w:rPr>
              <w:t>单位</w:t>
            </w:r>
            <w:r>
              <w:rPr>
                <w:rFonts w:hint="eastAsia" w:ascii="楷体_GB2312" w:hAnsi="宋体" w:eastAsia="楷体_GB2312" w:cs="楷体_GB2312"/>
                <w:szCs w:val="21"/>
                <w:lang w:eastAsia="zh-CN"/>
              </w:rPr>
              <w:t>）</w:t>
            </w:r>
            <w:r>
              <w:rPr>
                <w:rFonts w:hint="eastAsia" w:ascii="楷体_GB2312" w:hAnsi="宋体" w:eastAsia="楷体_GB2312" w:cs="楷体_GB2312"/>
                <w:szCs w:val="21"/>
              </w:rPr>
              <w:t>全面从严治党工作进行总体筹划、全面部署、有力推动</w:t>
            </w:r>
            <w:r>
              <w:rPr>
                <w:rFonts w:hint="eastAsia" w:ascii="楷体_GB2312" w:hAnsi="宋体" w:eastAsia="楷体_GB2312" w:cs="楷体_GB2312"/>
                <w:szCs w:val="21"/>
                <w:lang w:val="en-US" w:eastAsia="zh-CN"/>
              </w:rPr>
              <w:t>的，扣5分；</w:t>
            </w:r>
            <w:r>
              <w:rPr>
                <w:rFonts w:hint="eastAsia" w:ascii="楷体_GB2312" w:hAnsi="宋体" w:eastAsia="楷体_GB2312" w:cs="楷体_GB2312"/>
                <w:szCs w:val="21"/>
              </w:rPr>
              <w:t>②</w:t>
            </w:r>
            <w:r>
              <w:rPr>
                <w:rFonts w:hint="eastAsia" w:ascii="楷体_GB2312" w:hAnsi="宋体" w:eastAsia="楷体_GB2312" w:cs="楷体_GB2312"/>
                <w:szCs w:val="21"/>
                <w:lang w:val="en-US" w:eastAsia="zh-CN"/>
              </w:rPr>
              <w:t>研究部署与实际结合不紧密，存在形式主义问题的，扣1分</w:t>
            </w:r>
            <w:r>
              <w:rPr>
                <w:rFonts w:hint="eastAsia" w:ascii="楷体_GB2312" w:hAnsi="宋体" w:eastAsia="楷体_GB2312" w:cs="楷体_GB2312"/>
                <w:szCs w:val="21"/>
              </w:rPr>
              <w:t>；③未按照部门</w:t>
            </w:r>
            <w:r>
              <w:rPr>
                <w:rFonts w:hint="eastAsia" w:ascii="楷体_GB2312" w:eastAsia="楷体_GB2312"/>
                <w:szCs w:val="21"/>
              </w:rPr>
              <w:t>（单位）</w:t>
            </w:r>
            <w:r>
              <w:rPr>
                <w:rFonts w:hint="eastAsia" w:ascii="楷体_GB2312" w:hAnsi="宋体" w:eastAsia="楷体_GB2312" w:cs="楷体_GB2312"/>
                <w:szCs w:val="21"/>
              </w:rPr>
              <w:t>职能要求把中心业务与履行全面从严治党主体责任一起筹划部署的，扣</w:t>
            </w:r>
            <w:r>
              <w:rPr>
                <w:rFonts w:hint="eastAsia" w:ascii="楷体_GB2312" w:hAnsi="宋体" w:eastAsia="楷体_GB2312" w:cs="楷体_GB2312"/>
                <w:szCs w:val="21"/>
                <w:lang w:val="en-US" w:eastAsia="zh-CN"/>
              </w:rPr>
              <w:t>1</w:t>
            </w:r>
            <w:r>
              <w:rPr>
                <w:rFonts w:hint="eastAsia" w:ascii="楷体_GB2312" w:hAnsi="宋体" w:eastAsia="楷体_GB2312" w:cs="楷体_GB2312"/>
                <w:szCs w:val="21"/>
              </w:rPr>
              <w:t>分。</w:t>
            </w:r>
          </w:p>
        </w:tc>
        <w:tc>
          <w:tcPr>
            <w:tcW w:w="3318" w:type="dxa"/>
            <w:tcBorders>
              <w:bottom w:val="single" w:color="auto" w:sz="4" w:space="0"/>
            </w:tcBorders>
            <w:noWrap/>
            <w:vAlign w:val="center"/>
          </w:tcPr>
          <w:p>
            <w:pPr>
              <w:spacing w:line="320" w:lineRule="exact"/>
              <w:textAlignment w:val="center"/>
              <w:rPr>
                <w:rFonts w:hint="eastAsia" w:ascii="楷体_GB2312" w:eastAsia="楷体_GB2312"/>
                <w:szCs w:val="21"/>
              </w:rPr>
            </w:pPr>
          </w:p>
          <w:p>
            <w:pPr>
              <w:spacing w:line="320" w:lineRule="exact"/>
              <w:textAlignment w:val="center"/>
              <w:rPr>
                <w:rFonts w:ascii="楷体_GB2312" w:eastAsia="楷体_GB2312"/>
                <w:szCs w:val="21"/>
              </w:rPr>
            </w:pPr>
            <w:r>
              <w:rPr>
                <w:rFonts w:hint="eastAsia" w:ascii="楷体_GB2312" w:eastAsia="楷体_GB2312"/>
                <w:szCs w:val="21"/>
              </w:rPr>
              <w:t>研究部署本部门（单位）全面从严治党工作及传达党委</w:t>
            </w:r>
            <w:r>
              <w:rPr>
                <w:rFonts w:hint="eastAsia" w:ascii="楷体_GB2312" w:eastAsia="楷体_GB2312"/>
                <w:szCs w:val="21"/>
                <w:lang w:val="en-US" w:eastAsia="zh-CN"/>
              </w:rPr>
              <w:t>关于</w:t>
            </w:r>
            <w:r>
              <w:rPr>
                <w:rFonts w:hint="eastAsia" w:ascii="楷体_GB2312" w:eastAsia="楷体_GB2312"/>
                <w:szCs w:val="21"/>
              </w:rPr>
              <w:t>全面从严治党</w:t>
            </w:r>
            <w:r>
              <w:rPr>
                <w:rFonts w:hint="eastAsia" w:ascii="楷体_GB2312" w:eastAsia="楷体_GB2312"/>
                <w:szCs w:val="21"/>
                <w:lang w:val="en-US" w:eastAsia="zh-CN"/>
              </w:rPr>
              <w:t>工作</w:t>
            </w:r>
            <w:r>
              <w:rPr>
                <w:rFonts w:hint="eastAsia" w:ascii="楷体_GB2312" w:eastAsia="楷体_GB2312"/>
                <w:szCs w:val="21"/>
              </w:rPr>
              <w:t>部署要求的会议记录、照片，部门（单位）年度工作计划、党建工作计划等。</w:t>
            </w:r>
          </w:p>
          <w:p>
            <w:pPr>
              <w:spacing w:line="320" w:lineRule="exact"/>
              <w:textAlignment w:val="center"/>
              <w:rPr>
                <w:rFonts w:ascii="楷体_GB2312" w:eastAsia="楷体_GB2312"/>
                <w:szCs w:val="21"/>
              </w:rPr>
            </w:pPr>
          </w:p>
        </w:tc>
        <w:tc>
          <w:tcPr>
            <w:tcW w:w="1131" w:type="dxa"/>
            <w:vMerge w:val="restart"/>
            <w:noWrap/>
            <w:vAlign w:val="center"/>
          </w:tcPr>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center"/>
              <w:rPr>
                <w:rFonts w:ascii="楷体_GB2312" w:hAnsi="宋体" w:eastAsia="楷体_GB2312" w:cs="楷体_GB2312"/>
                <w:szCs w:val="21"/>
              </w:rPr>
            </w:pPr>
            <w:r>
              <w:rPr>
                <w:rFonts w:hint="eastAsia" w:ascii="楷体_GB2312" w:eastAsia="楷体_GB2312"/>
                <w:szCs w:val="21"/>
              </w:rPr>
              <w:t>各内设部门，临港控股、空港医院、空港学校、创新创业中心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30" w:hRule="atLeast"/>
          <w:jc w:val="center"/>
        </w:trPr>
        <w:tc>
          <w:tcPr>
            <w:tcW w:w="750" w:type="dxa"/>
            <w:vMerge w:val="continue"/>
            <w:noWrap/>
            <w:vAlign w:val="center"/>
          </w:tcPr>
          <w:p>
            <w:pPr>
              <w:spacing w:line="320" w:lineRule="exact"/>
              <w:ind w:left="-92" w:leftChars="-44" w:right="-107" w:rightChars="-51"/>
              <w:jc w:val="center"/>
              <w:textAlignment w:val="center"/>
              <w:rPr>
                <w:rFonts w:ascii="楷体_GB2312" w:hAnsi="宋体" w:eastAsia="楷体_GB2312" w:cs="楷体_GB2312"/>
                <w:color w:val="000000"/>
                <w:szCs w:val="21"/>
              </w:rPr>
            </w:pPr>
          </w:p>
        </w:tc>
        <w:tc>
          <w:tcPr>
            <w:tcW w:w="705" w:type="dxa"/>
            <w:noWrap/>
            <w:vAlign w:val="center"/>
          </w:tcPr>
          <w:p>
            <w:pPr>
              <w:widowControl/>
              <w:spacing w:line="320" w:lineRule="exact"/>
              <w:jc w:val="center"/>
              <w:rPr>
                <w:rFonts w:hint="default" w:ascii="楷体_GB2312" w:eastAsia="楷体_GB2312" w:cs="宋体"/>
                <w:kern w:val="0"/>
                <w:szCs w:val="21"/>
                <w:lang w:val="en-US"/>
              </w:rPr>
            </w:pPr>
            <w:r>
              <w:rPr>
                <w:rFonts w:hint="eastAsia" w:ascii="楷体_GB2312" w:hAnsi="宋体" w:eastAsia="楷体_GB2312" w:cs="楷体_GB2312"/>
                <w:color w:val="000000"/>
                <w:szCs w:val="21"/>
              </w:rPr>
              <w:t>制定和执行责任清单</w:t>
            </w:r>
            <w:r>
              <w:rPr>
                <w:rFonts w:hint="eastAsia" w:ascii="楷体_GB2312" w:hAnsi="宋体" w:eastAsia="楷体_GB2312" w:cs="楷体_GB2312"/>
                <w:color w:val="000000"/>
                <w:szCs w:val="21"/>
                <w:lang w:val="en-US" w:eastAsia="zh-CN"/>
              </w:rPr>
              <w:t>和任务清单情况</w:t>
            </w:r>
          </w:p>
        </w:tc>
        <w:tc>
          <w:tcPr>
            <w:tcW w:w="795" w:type="dxa"/>
            <w:noWrap/>
            <w:vAlign w:val="center"/>
          </w:tcPr>
          <w:p>
            <w:pPr>
              <w:widowControl/>
              <w:spacing w:line="320" w:lineRule="exact"/>
              <w:jc w:val="center"/>
              <w:rPr>
                <w:rFonts w:hint="default" w:ascii="楷体_GB2312" w:eastAsia="楷体_GB2312" w:cs="宋体"/>
                <w:kern w:val="0"/>
                <w:szCs w:val="21"/>
                <w:lang w:val="en-US" w:eastAsia="zh-CN"/>
              </w:rPr>
            </w:pPr>
            <w:r>
              <w:rPr>
                <w:rFonts w:hint="eastAsia" w:ascii="楷体_GB2312" w:eastAsia="楷体_GB2312" w:cs="宋体"/>
                <w:kern w:val="0"/>
                <w:szCs w:val="21"/>
                <w:lang w:val="en-US" w:eastAsia="zh-CN"/>
              </w:rPr>
              <w:t>5</w:t>
            </w:r>
          </w:p>
        </w:tc>
        <w:tc>
          <w:tcPr>
            <w:tcW w:w="4038" w:type="dxa"/>
            <w:noWrap/>
            <w:vAlign w:val="center"/>
          </w:tcPr>
          <w:p>
            <w:pPr>
              <w:spacing w:line="320" w:lineRule="exact"/>
              <w:jc w:val="left"/>
              <w:textAlignment w:val="center"/>
              <w:rPr>
                <w:rFonts w:hint="default" w:ascii="楷体_GB2312" w:eastAsia="楷体_GB2312"/>
                <w:szCs w:val="21"/>
                <w:lang w:val="en-US" w:eastAsia="zh-CN"/>
              </w:rPr>
            </w:pPr>
            <w:r>
              <w:rPr>
                <w:rFonts w:hint="eastAsia" w:ascii="楷体_GB2312" w:hAnsi="宋体" w:eastAsia="楷体_GB2312" w:cs="楷体_GB2312"/>
                <w:color w:val="000000"/>
                <w:szCs w:val="21"/>
              </w:rPr>
              <w:t>年初</w:t>
            </w:r>
            <w:r>
              <w:rPr>
                <w:rFonts w:hint="eastAsia" w:ascii="楷体_GB2312" w:hAnsi="宋体" w:eastAsia="楷体_GB2312" w:cs="楷体_GB2312"/>
                <w:color w:val="000000"/>
                <w:szCs w:val="21"/>
                <w:lang w:val="en-US" w:eastAsia="zh-CN"/>
              </w:rPr>
              <w:t>是否</w:t>
            </w:r>
            <w:r>
              <w:rPr>
                <w:rFonts w:hint="eastAsia" w:ascii="楷体_GB2312" w:hAnsi="宋体" w:eastAsia="楷体_GB2312" w:cs="楷体_GB2312"/>
                <w:color w:val="000000"/>
                <w:szCs w:val="21"/>
              </w:rPr>
              <w:t>结合</w:t>
            </w:r>
            <w:r>
              <w:rPr>
                <w:rFonts w:hint="eastAsia" w:ascii="楷体_GB2312" w:hAnsi="宋体" w:eastAsia="楷体_GB2312" w:cs="楷体_GB2312"/>
                <w:color w:val="000000"/>
                <w:szCs w:val="21"/>
                <w:lang w:val="en-US" w:eastAsia="zh-CN"/>
              </w:rPr>
              <w:t>部门（单位）</w:t>
            </w:r>
            <w:r>
              <w:rPr>
                <w:rFonts w:hint="eastAsia" w:ascii="楷体_GB2312" w:hAnsi="宋体" w:eastAsia="楷体_GB2312" w:cs="楷体_GB2312"/>
                <w:color w:val="000000"/>
                <w:szCs w:val="21"/>
              </w:rPr>
              <w:t>实际制定责任清单</w:t>
            </w:r>
            <w:r>
              <w:rPr>
                <w:rFonts w:hint="eastAsia" w:ascii="楷体_GB2312" w:hAnsi="宋体" w:eastAsia="楷体_GB2312" w:cs="楷体_GB2312"/>
                <w:color w:val="000000"/>
                <w:szCs w:val="21"/>
                <w:lang w:val="en-US" w:eastAsia="zh-CN"/>
              </w:rPr>
              <w:t>和任务清单</w:t>
            </w:r>
            <w:r>
              <w:rPr>
                <w:rFonts w:hint="eastAsia" w:ascii="楷体_GB2312" w:hAnsi="宋体" w:eastAsia="楷体_GB2312" w:cs="楷体_GB2312"/>
                <w:color w:val="000000"/>
                <w:szCs w:val="21"/>
              </w:rPr>
              <w:t>，明确</w:t>
            </w:r>
            <w:r>
              <w:rPr>
                <w:rFonts w:hint="eastAsia" w:ascii="楷体_GB2312" w:hAnsi="宋体" w:eastAsia="楷体_GB2312" w:cs="楷体_GB2312"/>
                <w:color w:val="000000"/>
                <w:szCs w:val="21"/>
                <w:lang w:val="en-US" w:eastAsia="zh-CN"/>
              </w:rPr>
              <w:t>领导班子主要负责人和</w:t>
            </w:r>
            <w:r>
              <w:rPr>
                <w:rFonts w:hint="eastAsia" w:ascii="楷体_GB2312" w:hAnsi="宋体" w:eastAsia="楷体_GB2312" w:cs="楷体_GB2312"/>
                <w:color w:val="000000"/>
                <w:szCs w:val="21"/>
              </w:rPr>
              <w:t>领导班子其他成员应当承担的全面从严治党责任</w:t>
            </w:r>
            <w:r>
              <w:rPr>
                <w:rFonts w:hint="eastAsia" w:ascii="楷体_GB2312" w:hAnsi="宋体" w:eastAsia="楷体_GB2312" w:cs="楷体_GB2312"/>
                <w:color w:val="000000"/>
                <w:szCs w:val="21"/>
                <w:lang w:eastAsia="zh-CN"/>
              </w:rPr>
              <w:t>，</w:t>
            </w:r>
            <w:r>
              <w:rPr>
                <w:rFonts w:hint="eastAsia" w:ascii="楷体_GB2312" w:hAnsi="宋体" w:eastAsia="楷体_GB2312" w:cs="楷体_GB2312"/>
                <w:color w:val="000000"/>
                <w:szCs w:val="21"/>
                <w:lang w:val="en-US" w:eastAsia="zh-CN"/>
              </w:rPr>
              <w:t>并严格落实清单内容。</w:t>
            </w:r>
          </w:p>
        </w:tc>
        <w:tc>
          <w:tcPr>
            <w:tcW w:w="3969" w:type="dxa"/>
            <w:tcBorders>
              <w:top w:val="single" w:color="auto" w:sz="4" w:space="0"/>
              <w:bottom w:val="single" w:color="auto" w:sz="4" w:space="0"/>
            </w:tcBorders>
            <w:noWrap/>
            <w:vAlign w:val="center"/>
          </w:tcPr>
          <w:p>
            <w:pPr>
              <w:spacing w:line="320" w:lineRule="exact"/>
              <w:jc w:val="both"/>
              <w:textAlignment w:val="center"/>
              <w:rPr>
                <w:rFonts w:ascii="楷体_GB2312" w:hAnsi="宋体" w:eastAsia="楷体_GB2312" w:cs="楷体_GB2312"/>
                <w:szCs w:val="21"/>
              </w:rPr>
            </w:pPr>
            <w:r>
              <w:rPr>
                <w:rFonts w:hint="eastAsia" w:ascii="楷体_GB2312" w:hAnsi="宋体" w:eastAsia="楷体_GB2312" w:cs="楷体_GB2312"/>
                <w:szCs w:val="21"/>
              </w:rPr>
              <w:t>①班子及成员未</w:t>
            </w:r>
            <w:r>
              <w:rPr>
                <w:rFonts w:hint="eastAsia" w:ascii="楷体_GB2312" w:hAnsi="宋体" w:eastAsia="楷体_GB2312" w:cs="楷体_GB2312"/>
                <w:szCs w:val="21"/>
                <w:lang w:val="en-US" w:eastAsia="zh-CN"/>
              </w:rPr>
              <w:t>研究</w:t>
            </w:r>
            <w:r>
              <w:rPr>
                <w:rFonts w:hint="eastAsia" w:ascii="楷体_GB2312" w:hAnsi="宋体" w:eastAsia="楷体_GB2312" w:cs="楷体_GB2312"/>
                <w:szCs w:val="21"/>
              </w:rPr>
              <w:t>制定“两个清单”的，扣</w:t>
            </w:r>
            <w:r>
              <w:rPr>
                <w:rFonts w:hint="eastAsia" w:ascii="楷体_GB2312" w:hAnsi="宋体" w:eastAsia="楷体_GB2312" w:cs="楷体_GB2312"/>
                <w:szCs w:val="21"/>
                <w:lang w:val="en-US" w:eastAsia="zh-CN"/>
              </w:rPr>
              <w:t>5</w:t>
            </w:r>
            <w:r>
              <w:rPr>
                <w:rFonts w:hint="eastAsia" w:ascii="楷体_GB2312" w:hAnsi="宋体" w:eastAsia="楷体_GB2312" w:cs="楷体_GB2312"/>
                <w:szCs w:val="21"/>
              </w:rPr>
              <w:t>分；②主要负责人未与责任对象“签字背书”</w:t>
            </w:r>
            <w:r>
              <w:rPr>
                <w:rFonts w:hint="eastAsia" w:ascii="楷体_GB2312" w:hAnsi="宋体" w:eastAsia="楷体_GB2312" w:cs="楷体_GB2312"/>
                <w:szCs w:val="21"/>
                <w:lang w:val="en-US" w:eastAsia="zh-CN"/>
              </w:rPr>
              <w:t>的</w:t>
            </w:r>
            <w:r>
              <w:rPr>
                <w:rFonts w:hint="eastAsia" w:ascii="楷体_GB2312" w:hAnsi="宋体" w:eastAsia="楷体_GB2312" w:cs="楷体_GB2312"/>
                <w:szCs w:val="21"/>
              </w:rPr>
              <w:t>，扣</w:t>
            </w:r>
            <w:r>
              <w:rPr>
                <w:rFonts w:hint="eastAsia" w:ascii="楷体_GB2312" w:hAnsi="宋体" w:eastAsia="楷体_GB2312" w:cs="楷体_GB2312"/>
                <w:szCs w:val="21"/>
                <w:lang w:val="en-US" w:eastAsia="zh-CN"/>
              </w:rPr>
              <w:t>0.5</w:t>
            </w:r>
            <w:r>
              <w:rPr>
                <w:rFonts w:hint="eastAsia" w:ascii="楷体_GB2312" w:hAnsi="宋体" w:eastAsia="楷体_GB2312" w:cs="楷体_GB2312"/>
                <w:szCs w:val="21"/>
              </w:rPr>
              <w:t>分</w:t>
            </w:r>
            <w:r>
              <w:rPr>
                <w:rFonts w:hint="eastAsia" w:ascii="楷体_GB2312" w:hAnsi="宋体" w:eastAsia="楷体_GB2312" w:cs="楷体_GB2312"/>
                <w:szCs w:val="21"/>
                <w:lang w:eastAsia="zh-CN"/>
              </w:rPr>
              <w:t>；</w:t>
            </w:r>
            <w:r>
              <w:rPr>
                <w:rFonts w:hint="eastAsia" w:ascii="楷体_GB2312" w:hAnsi="宋体" w:eastAsia="楷体_GB2312" w:cs="楷体_GB2312"/>
                <w:szCs w:val="21"/>
              </w:rPr>
              <w:t>③清单内容与工作实际结合不紧密，照搬照抄</w:t>
            </w:r>
            <w:r>
              <w:rPr>
                <w:rFonts w:hint="eastAsia" w:ascii="楷体_GB2312" w:hAnsi="宋体" w:eastAsia="楷体_GB2312" w:cs="楷体_GB2312"/>
                <w:szCs w:val="21"/>
                <w:lang w:val="en-US" w:eastAsia="zh-CN"/>
              </w:rPr>
              <w:t>的，</w:t>
            </w:r>
            <w:r>
              <w:rPr>
                <w:rFonts w:hint="eastAsia" w:ascii="楷体_GB2312" w:hAnsi="宋体" w:eastAsia="楷体_GB2312" w:cs="楷体_GB2312"/>
                <w:szCs w:val="21"/>
              </w:rPr>
              <w:t>扣</w:t>
            </w:r>
            <w:r>
              <w:rPr>
                <w:rFonts w:hint="eastAsia" w:ascii="楷体_GB2312" w:hAnsi="宋体" w:eastAsia="楷体_GB2312" w:cs="楷体_GB2312"/>
                <w:szCs w:val="21"/>
                <w:lang w:val="en-US" w:eastAsia="zh-CN"/>
              </w:rPr>
              <w:t>1</w:t>
            </w:r>
            <w:r>
              <w:rPr>
                <w:rFonts w:hint="eastAsia" w:ascii="楷体_GB2312" w:hAnsi="宋体" w:eastAsia="楷体_GB2312" w:cs="楷体_GB2312"/>
                <w:szCs w:val="21"/>
              </w:rPr>
              <w:t>分；</w:t>
            </w:r>
            <w:r>
              <w:rPr>
                <w:rFonts w:hint="eastAsia" w:ascii="楷体_GB2312" w:hAnsi="宋体" w:eastAsia="楷体_GB2312" w:cs="楷体_GB2312"/>
                <w:kern w:val="0"/>
                <w:szCs w:val="21"/>
              </w:rPr>
              <w:t>④</w:t>
            </w:r>
            <w:r>
              <w:rPr>
                <w:rFonts w:hint="eastAsia" w:ascii="楷体_GB2312" w:hAnsi="宋体" w:eastAsia="楷体_GB2312" w:cs="楷体_GB2312"/>
                <w:szCs w:val="21"/>
              </w:rPr>
              <w:t>相关责任人对清单内容不知晓，</w:t>
            </w:r>
            <w:r>
              <w:rPr>
                <w:rFonts w:hint="eastAsia" w:ascii="楷体_GB2312" w:hAnsi="宋体" w:eastAsia="楷体_GB2312" w:cs="楷体_GB2312"/>
                <w:szCs w:val="21"/>
                <w:lang w:val="en-US" w:eastAsia="zh-CN"/>
              </w:rPr>
              <w:t>未</w:t>
            </w:r>
            <w:r>
              <w:rPr>
                <w:rFonts w:hint="eastAsia" w:ascii="楷体_GB2312" w:hAnsi="宋体" w:eastAsia="楷体_GB2312" w:cs="楷体_GB2312"/>
                <w:szCs w:val="21"/>
              </w:rPr>
              <w:t>及时跟踪清单落实工作进展</w:t>
            </w:r>
            <w:r>
              <w:rPr>
                <w:rFonts w:hint="eastAsia" w:ascii="楷体_GB2312" w:hAnsi="宋体" w:eastAsia="楷体_GB2312" w:cs="楷体_GB2312"/>
                <w:szCs w:val="21"/>
                <w:lang w:val="en-US" w:eastAsia="zh-CN"/>
              </w:rPr>
              <w:t>的</w:t>
            </w:r>
            <w:r>
              <w:rPr>
                <w:rFonts w:hint="eastAsia" w:ascii="楷体_GB2312" w:hAnsi="宋体" w:eastAsia="楷体_GB2312" w:cs="楷体_GB2312"/>
                <w:szCs w:val="21"/>
              </w:rPr>
              <w:t>，扣</w:t>
            </w:r>
            <w:r>
              <w:rPr>
                <w:rFonts w:hint="eastAsia" w:ascii="楷体_GB2312" w:hAnsi="宋体" w:eastAsia="楷体_GB2312" w:cs="楷体_GB2312"/>
                <w:szCs w:val="21"/>
                <w:lang w:val="en-US" w:eastAsia="zh-CN"/>
              </w:rPr>
              <w:t>1</w:t>
            </w:r>
            <w:r>
              <w:rPr>
                <w:rFonts w:hint="eastAsia" w:ascii="楷体_GB2312" w:hAnsi="宋体" w:eastAsia="楷体_GB2312" w:cs="楷体_GB2312"/>
                <w:szCs w:val="21"/>
              </w:rPr>
              <w:t>分</w:t>
            </w:r>
            <w:r>
              <w:rPr>
                <w:rFonts w:hint="eastAsia" w:ascii="楷体_GB2312" w:hAnsi="宋体" w:eastAsia="楷体_GB2312" w:cs="楷体_GB2312"/>
                <w:szCs w:val="21"/>
                <w:lang w:eastAsia="zh-CN"/>
              </w:rPr>
              <w:t>；</w:t>
            </w:r>
            <w:r>
              <w:rPr>
                <w:rFonts w:hint="eastAsia" w:ascii="楷体_GB2312" w:hAnsi="宋体" w:eastAsia="楷体_GB2312" w:cs="楷体_GB2312"/>
                <w:color w:val="000000"/>
                <w:szCs w:val="21"/>
                <w:lang w:val="en-US" w:eastAsia="zh-CN"/>
              </w:rPr>
              <w:t>⑤</w:t>
            </w:r>
            <w:r>
              <w:rPr>
                <w:rFonts w:hint="eastAsia" w:ascii="楷体_GB2312" w:hAnsi="宋体" w:eastAsia="楷体_GB2312" w:cs="楷体_GB2312"/>
                <w:color w:val="000000"/>
                <w:szCs w:val="21"/>
              </w:rPr>
              <w:t>未按时提交半年和全年落实全面从严治党主体责任情况报告，未向党委、管委会分管领导汇报责任落实情况，每项扣</w:t>
            </w:r>
            <w:r>
              <w:rPr>
                <w:rFonts w:hint="eastAsia" w:ascii="楷体_GB2312" w:hAnsi="宋体" w:eastAsia="楷体_GB2312" w:cs="楷体_GB2312"/>
                <w:color w:val="000000"/>
                <w:szCs w:val="21"/>
                <w:lang w:val="en-US" w:eastAsia="zh-CN"/>
              </w:rPr>
              <w:t>1</w:t>
            </w:r>
            <w:r>
              <w:rPr>
                <w:rFonts w:hint="eastAsia" w:ascii="楷体_GB2312" w:hAnsi="宋体" w:eastAsia="楷体_GB2312" w:cs="楷体_GB2312"/>
                <w:color w:val="000000"/>
                <w:szCs w:val="21"/>
              </w:rPr>
              <w:t>分</w:t>
            </w:r>
            <w:r>
              <w:rPr>
                <w:rFonts w:hint="eastAsia" w:ascii="楷体_GB2312" w:hAnsi="宋体" w:eastAsia="楷体_GB2312" w:cs="楷体_GB2312"/>
                <w:color w:val="000000"/>
                <w:szCs w:val="21"/>
                <w:lang w:eastAsia="zh-CN"/>
              </w:rPr>
              <w:t>；</w:t>
            </w:r>
            <w:r>
              <w:rPr>
                <w:rFonts w:hint="eastAsia" w:ascii="楷体_GB2312" w:hAnsi="宋体" w:eastAsia="楷体_GB2312" w:cs="楷体_GB2312"/>
                <w:color w:val="000000"/>
                <w:szCs w:val="21"/>
                <w:lang w:val="en-US" w:eastAsia="zh-CN"/>
              </w:rPr>
              <w:t>⑥</w:t>
            </w:r>
            <w:r>
              <w:rPr>
                <w:rFonts w:hint="eastAsia" w:ascii="楷体_GB2312" w:hAnsi="宋体" w:eastAsia="楷体_GB2312" w:cs="楷体_GB2312"/>
                <w:color w:val="000000"/>
                <w:szCs w:val="21"/>
              </w:rPr>
              <w:t>落实全面从严治党主体责任情况报告未结合实际，内容空泛无具体做法</w:t>
            </w:r>
            <w:r>
              <w:rPr>
                <w:rFonts w:hint="eastAsia" w:ascii="楷体_GB2312" w:hAnsi="宋体" w:eastAsia="楷体_GB2312" w:cs="楷体_GB2312"/>
                <w:color w:val="000000"/>
                <w:szCs w:val="21"/>
                <w:lang w:val="en-US" w:eastAsia="zh-CN"/>
              </w:rPr>
              <w:t>的或内容雷同的，</w:t>
            </w:r>
            <w:r>
              <w:rPr>
                <w:rFonts w:hint="eastAsia" w:ascii="楷体_GB2312" w:hAnsi="宋体" w:eastAsia="楷体_GB2312" w:cs="楷体_GB2312"/>
                <w:color w:val="000000"/>
                <w:szCs w:val="21"/>
              </w:rPr>
              <w:t>扣1分。</w:t>
            </w:r>
          </w:p>
        </w:tc>
        <w:tc>
          <w:tcPr>
            <w:tcW w:w="3318" w:type="dxa"/>
            <w:tcBorders>
              <w:top w:val="single" w:color="auto" w:sz="4" w:space="0"/>
              <w:bottom w:val="single" w:color="auto" w:sz="4" w:space="0"/>
            </w:tcBorders>
            <w:noWrap/>
            <w:vAlign w:val="center"/>
          </w:tcPr>
          <w:p>
            <w:pPr>
              <w:spacing w:line="320" w:lineRule="exact"/>
              <w:textAlignment w:val="center"/>
              <w:rPr>
                <w:rFonts w:ascii="楷体_GB2312" w:eastAsia="楷体_GB2312"/>
                <w:szCs w:val="21"/>
              </w:rPr>
            </w:pPr>
          </w:p>
          <w:p>
            <w:pPr>
              <w:spacing w:line="320" w:lineRule="exact"/>
              <w:textAlignment w:val="center"/>
              <w:rPr>
                <w:rFonts w:ascii="楷体_GB2312" w:eastAsia="楷体_GB2312"/>
                <w:szCs w:val="21"/>
              </w:rPr>
            </w:pPr>
            <w:r>
              <w:rPr>
                <w:rFonts w:hint="eastAsia" w:ascii="楷体_GB2312" w:eastAsia="楷体_GB2312"/>
                <w:szCs w:val="21"/>
              </w:rPr>
              <w:t>主要负责人及其他领导班子成员制定“两个清单”及签字背书情况；</w:t>
            </w:r>
          </w:p>
          <w:p>
            <w:pPr>
              <w:spacing w:line="320" w:lineRule="exact"/>
              <w:jc w:val="left"/>
              <w:textAlignment w:val="center"/>
              <w:rPr>
                <w:rFonts w:ascii="楷体_GB2312" w:hAnsi="宋体" w:eastAsia="楷体_GB2312" w:cs="楷体_GB2312"/>
                <w:color w:val="000000"/>
                <w:szCs w:val="21"/>
              </w:rPr>
            </w:pPr>
            <w:r>
              <w:rPr>
                <w:rFonts w:hint="eastAsia" w:ascii="楷体_GB2312" w:hAnsi="宋体" w:eastAsia="楷体_GB2312" w:cs="楷体_GB2312"/>
                <w:szCs w:val="21"/>
              </w:rPr>
              <w:t>部门</w:t>
            </w:r>
            <w:r>
              <w:rPr>
                <w:rFonts w:hint="eastAsia" w:ascii="楷体_GB2312" w:eastAsia="楷体_GB2312"/>
                <w:szCs w:val="21"/>
              </w:rPr>
              <w:t>（单位）</w:t>
            </w:r>
            <w:r>
              <w:rPr>
                <w:rFonts w:hint="eastAsia" w:ascii="楷体_GB2312" w:hAnsi="宋体" w:eastAsia="楷体_GB2312" w:cs="楷体_GB2312"/>
                <w:szCs w:val="21"/>
              </w:rPr>
              <w:t>或党支部研究推动“两个清单”落实的有关记录或有关措施等。领导班子及成员</w:t>
            </w:r>
            <w:r>
              <w:rPr>
                <w:rFonts w:hint="eastAsia" w:ascii="楷体_GB2312" w:hAnsi="宋体" w:eastAsia="楷体_GB2312" w:cs="楷体_GB2312"/>
                <w:color w:val="000000"/>
                <w:szCs w:val="21"/>
              </w:rPr>
              <w:t>半年、领导班子全年落实全面从严治党主体责任情况报告。</w:t>
            </w:r>
          </w:p>
          <w:p>
            <w:pPr>
              <w:spacing w:line="320" w:lineRule="exact"/>
              <w:textAlignment w:val="center"/>
              <w:rPr>
                <w:rFonts w:ascii="楷体_GB2312" w:eastAsia="楷体_GB2312"/>
                <w:szCs w:val="21"/>
              </w:rPr>
            </w:pPr>
          </w:p>
        </w:tc>
        <w:tc>
          <w:tcPr>
            <w:tcW w:w="1131" w:type="dxa"/>
            <w:vMerge w:val="continue"/>
            <w:noWrap/>
            <w:vAlign w:val="center"/>
          </w:tcPr>
          <w:p>
            <w:pPr>
              <w:jc w:val="center"/>
              <w:rPr>
                <w:rFonts w:ascii="楷体_GB2312" w:hAnsi="宋体" w:eastAsia="楷体_GB2312" w:cs="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45" w:hRule="atLeast"/>
          <w:jc w:val="center"/>
        </w:trPr>
        <w:tc>
          <w:tcPr>
            <w:tcW w:w="750" w:type="dxa"/>
            <w:vMerge w:val="continue"/>
            <w:noWrap/>
            <w:vAlign w:val="center"/>
          </w:tcPr>
          <w:p>
            <w:pPr>
              <w:jc w:val="center"/>
              <w:rPr>
                <w:rFonts w:ascii="楷体_GB2312" w:hAnsi="宋体" w:eastAsia="楷体_GB2312" w:cs="楷体_GB2312"/>
                <w:color w:val="000000"/>
                <w:szCs w:val="21"/>
              </w:rPr>
            </w:pPr>
          </w:p>
        </w:tc>
        <w:tc>
          <w:tcPr>
            <w:tcW w:w="705" w:type="dxa"/>
            <w:noWrap/>
            <w:vAlign w:val="center"/>
          </w:tcPr>
          <w:p>
            <w:pPr>
              <w:widowControl/>
              <w:spacing w:line="320" w:lineRule="exact"/>
              <w:ind w:right="63" w:rightChars="30"/>
              <w:jc w:val="both"/>
              <w:rPr>
                <w:rFonts w:hint="eastAsia" w:ascii="楷体_GB2312" w:hAnsi="宋体" w:eastAsia="楷体_GB2312" w:cs="楷体_GB2312"/>
                <w:color w:val="000000"/>
                <w:szCs w:val="21"/>
                <w:lang w:val="en-US" w:eastAsia="zh-CN"/>
              </w:rPr>
            </w:pPr>
          </w:p>
          <w:p>
            <w:pPr>
              <w:widowControl/>
              <w:spacing w:line="320" w:lineRule="exact"/>
              <w:ind w:right="63" w:rightChars="30"/>
              <w:jc w:val="center"/>
              <w:rPr>
                <w:rFonts w:hint="default" w:ascii="楷体_GB2312" w:eastAsia="楷体_GB2312"/>
                <w:color w:val="000000"/>
                <w:kern w:val="0"/>
                <w:szCs w:val="21"/>
                <w:lang w:val="en-US"/>
              </w:rPr>
            </w:pPr>
            <w:r>
              <w:rPr>
                <w:rFonts w:hint="eastAsia" w:ascii="楷体_GB2312" w:hAnsi="宋体" w:eastAsia="楷体_GB2312" w:cs="楷体_GB2312"/>
                <w:color w:val="000000"/>
                <w:szCs w:val="21"/>
                <w:lang w:val="en-US" w:eastAsia="zh-CN"/>
              </w:rPr>
              <w:t>专题调研情况</w:t>
            </w:r>
          </w:p>
        </w:tc>
        <w:tc>
          <w:tcPr>
            <w:tcW w:w="795" w:type="dxa"/>
            <w:noWrap/>
            <w:vAlign w:val="center"/>
          </w:tcPr>
          <w:p>
            <w:pPr>
              <w:widowControl/>
              <w:spacing w:line="320" w:lineRule="exact"/>
              <w:jc w:val="both"/>
              <w:rPr>
                <w:rFonts w:hint="eastAsia" w:ascii="楷体_GB2312" w:eastAsia="楷体_GB2312" w:cs="宋体"/>
                <w:kern w:val="0"/>
                <w:szCs w:val="21"/>
              </w:rPr>
            </w:pPr>
          </w:p>
          <w:p>
            <w:pPr>
              <w:widowControl/>
              <w:spacing w:line="320" w:lineRule="exact"/>
              <w:jc w:val="center"/>
              <w:rPr>
                <w:rFonts w:ascii="楷体_GB2312" w:eastAsia="楷体_GB2312" w:cs="宋体"/>
                <w:kern w:val="0"/>
                <w:szCs w:val="21"/>
              </w:rPr>
            </w:pPr>
            <w:r>
              <w:rPr>
                <w:rFonts w:hint="eastAsia" w:ascii="楷体_GB2312" w:eastAsia="楷体_GB2312" w:cs="宋体"/>
                <w:kern w:val="0"/>
                <w:szCs w:val="21"/>
              </w:rPr>
              <w:t>5</w:t>
            </w:r>
          </w:p>
        </w:tc>
        <w:tc>
          <w:tcPr>
            <w:tcW w:w="4038" w:type="dxa"/>
            <w:noWrap/>
            <w:vAlign w:val="center"/>
          </w:tcPr>
          <w:p>
            <w:pPr>
              <w:spacing w:line="320" w:lineRule="exact"/>
              <w:jc w:val="left"/>
              <w:textAlignment w:val="center"/>
              <w:rPr>
                <w:rFonts w:hint="eastAsia" w:ascii="楷体_GB2312" w:hAnsi="宋体" w:eastAsia="楷体_GB2312" w:cs="楷体_GB2312"/>
                <w:color w:val="000000"/>
                <w:szCs w:val="21"/>
                <w:lang w:val="en-US" w:eastAsia="zh-CN"/>
              </w:rPr>
            </w:pPr>
          </w:p>
          <w:p>
            <w:pPr>
              <w:spacing w:line="320" w:lineRule="exact"/>
              <w:jc w:val="left"/>
              <w:textAlignment w:val="center"/>
              <w:rPr>
                <w:rFonts w:ascii="楷体_GB2312" w:eastAsia="楷体_GB2312"/>
                <w:color w:val="000000"/>
                <w:kern w:val="0"/>
                <w:szCs w:val="21"/>
              </w:rPr>
            </w:pPr>
            <w:r>
              <w:rPr>
                <w:rFonts w:hint="eastAsia" w:ascii="楷体_GB2312" w:hAnsi="宋体" w:eastAsia="楷体_GB2312" w:cs="楷体_GB2312"/>
                <w:color w:val="000000"/>
                <w:szCs w:val="21"/>
                <w:lang w:val="en-US" w:eastAsia="zh-CN"/>
              </w:rPr>
              <w:t>领导班子成员是否加强对全面从严治党工作的调查研究，了解工作推进情况，发现和解决实践中的突出问题。调查研究是否突出基层一线，注重听取党代表、党员、干部、基层党组织和群众的意见建议。</w:t>
            </w:r>
          </w:p>
        </w:tc>
        <w:tc>
          <w:tcPr>
            <w:tcW w:w="3969" w:type="dxa"/>
            <w:tcBorders>
              <w:bottom w:val="single" w:color="auto" w:sz="4" w:space="0"/>
            </w:tcBorders>
            <w:noWrap/>
            <w:vAlign w:val="center"/>
          </w:tcPr>
          <w:p>
            <w:pPr>
              <w:spacing w:line="320" w:lineRule="exact"/>
              <w:jc w:val="both"/>
              <w:textAlignment w:val="center"/>
              <w:rPr>
                <w:rFonts w:hint="default" w:ascii="楷体_GB2312" w:hAnsi="宋体" w:eastAsia="楷体_GB2312" w:cs="楷体_GB2312"/>
                <w:szCs w:val="21"/>
                <w:lang w:val="en-US"/>
              </w:rPr>
            </w:pPr>
            <w:r>
              <w:rPr>
                <w:rFonts w:hint="eastAsia" w:ascii="楷体_GB2312" w:hAnsi="宋体" w:eastAsia="楷体_GB2312" w:cs="楷体_GB2312"/>
                <w:szCs w:val="21"/>
              </w:rPr>
              <w:t>①</w:t>
            </w:r>
            <w:r>
              <w:rPr>
                <w:rFonts w:hint="eastAsia" w:ascii="楷体_GB2312" w:hAnsi="宋体" w:eastAsia="楷体_GB2312" w:cs="楷体_GB2312"/>
                <w:color w:val="000000"/>
                <w:szCs w:val="21"/>
                <w:lang w:val="en-US" w:eastAsia="zh-CN"/>
              </w:rPr>
              <w:t>主要负责人不了解本部门本单位全面从严治党工作推进情况，未督促推动领导班子其他成员日常落实全面从严治党主体责任的，扣1分；</w:t>
            </w:r>
            <w:r>
              <w:rPr>
                <w:rFonts w:hint="eastAsia" w:ascii="楷体_GB2312" w:hAnsi="宋体" w:eastAsia="楷体_GB2312" w:cs="楷体_GB2312"/>
                <w:szCs w:val="21"/>
              </w:rPr>
              <w:t>②</w:t>
            </w:r>
            <w:r>
              <w:rPr>
                <w:rFonts w:hint="eastAsia" w:ascii="楷体_GB2312" w:hAnsi="宋体" w:eastAsia="楷体_GB2312" w:cs="楷体_GB2312"/>
                <w:color w:val="000000"/>
                <w:szCs w:val="21"/>
                <w:lang w:val="en-US" w:eastAsia="zh-CN"/>
              </w:rPr>
              <w:t>领导班子成员未亲自研究部署、亲自深入一线、亲自听取意见建议，未坚持问题导向，存在“蜻蜓点水”“闭门造车”“空对空”调研等问题的，扣1分；</w:t>
            </w:r>
            <w:r>
              <w:rPr>
                <w:rFonts w:hint="eastAsia" w:ascii="楷体_GB2312" w:hAnsi="宋体" w:eastAsia="楷体_GB2312" w:cs="楷体_GB2312"/>
                <w:szCs w:val="21"/>
              </w:rPr>
              <w:t>③</w:t>
            </w:r>
            <w:r>
              <w:rPr>
                <w:rFonts w:hint="eastAsia" w:ascii="楷体_GB2312" w:hAnsi="宋体" w:eastAsia="楷体_GB2312" w:cs="楷体_GB2312"/>
                <w:color w:val="000000"/>
                <w:szCs w:val="21"/>
                <w:lang w:val="en-US" w:eastAsia="zh-CN"/>
              </w:rPr>
              <w:t>未听取调查研究获得的意见建议并转化为实际举措，存在走过场、摆样子，搞好人主义，或者发现问题多、解决问题少等问题的，扣0.5分。</w:t>
            </w:r>
          </w:p>
        </w:tc>
        <w:tc>
          <w:tcPr>
            <w:tcW w:w="3318" w:type="dxa"/>
            <w:tcBorders>
              <w:top w:val="single" w:color="auto" w:sz="4" w:space="0"/>
            </w:tcBorders>
            <w:noWrap/>
            <w:vAlign w:val="center"/>
          </w:tcPr>
          <w:p>
            <w:pPr>
              <w:spacing w:line="320" w:lineRule="exact"/>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lang w:val="en-US" w:eastAsia="zh-CN"/>
              </w:rPr>
              <w:t>现场谈话、</w:t>
            </w:r>
            <w:r>
              <w:rPr>
                <w:rFonts w:hint="eastAsia" w:ascii="楷体_GB2312" w:hAnsi="宋体" w:eastAsia="楷体_GB2312" w:cs="楷体_GB2312"/>
                <w:color w:val="000000"/>
                <w:szCs w:val="21"/>
              </w:rPr>
              <w:t>查阅资料：</w:t>
            </w:r>
          </w:p>
          <w:p>
            <w:pPr>
              <w:spacing w:line="320" w:lineRule="exact"/>
              <w:textAlignment w:val="center"/>
              <w:rPr>
                <w:rFonts w:ascii="楷体_GB2312" w:hAnsi="宋体" w:eastAsia="楷体_GB2312" w:cs="楷体_GB2312"/>
                <w:color w:val="000000"/>
                <w:szCs w:val="21"/>
              </w:rPr>
            </w:pPr>
            <w:r>
              <w:rPr>
                <w:rFonts w:hint="eastAsia" w:ascii="楷体_GB2312" w:hAnsi="宋体" w:eastAsia="楷体_GB2312" w:cs="楷体_GB2312"/>
                <w:szCs w:val="21"/>
                <w:lang w:val="en-US" w:eastAsia="zh-CN"/>
              </w:rPr>
              <w:t>调研</w:t>
            </w:r>
            <w:r>
              <w:rPr>
                <w:rFonts w:hint="eastAsia" w:ascii="楷体_GB2312" w:hAnsi="宋体" w:eastAsia="楷体_GB2312" w:cs="楷体_GB2312"/>
                <w:color w:val="000000"/>
                <w:szCs w:val="21"/>
              </w:rPr>
              <w:t>有关材料，</w:t>
            </w:r>
            <w:r>
              <w:rPr>
                <w:rFonts w:hint="eastAsia" w:ascii="楷体_GB2312" w:hAnsi="宋体" w:eastAsia="楷体_GB2312" w:cs="楷体_GB2312"/>
                <w:color w:val="000000"/>
                <w:szCs w:val="21"/>
                <w:lang w:val="en-US" w:eastAsia="zh-CN"/>
              </w:rPr>
              <w:t>调研成果、</w:t>
            </w:r>
            <w:r>
              <w:rPr>
                <w:rFonts w:hint="eastAsia" w:ascii="楷体_GB2312" w:hAnsi="宋体" w:eastAsia="楷体_GB2312" w:cs="楷体_GB2312"/>
                <w:color w:val="000000"/>
                <w:szCs w:val="21"/>
              </w:rPr>
              <w:t>记录、简报</w:t>
            </w:r>
            <w:r>
              <w:rPr>
                <w:rFonts w:hint="eastAsia" w:ascii="楷体_GB2312" w:hAnsi="宋体" w:eastAsia="楷体_GB2312" w:cs="楷体_GB2312"/>
                <w:color w:val="000000"/>
                <w:szCs w:val="21"/>
                <w:lang w:eastAsia="zh-CN"/>
              </w:rPr>
              <w:t>、</w:t>
            </w:r>
            <w:r>
              <w:rPr>
                <w:rFonts w:hint="eastAsia" w:ascii="楷体_GB2312" w:hAnsi="宋体" w:eastAsia="楷体_GB2312" w:cs="楷体_GB2312"/>
                <w:color w:val="000000"/>
                <w:szCs w:val="21"/>
                <w:lang w:val="en-US" w:eastAsia="zh-CN"/>
              </w:rPr>
              <w:t>照片及落实举措</w:t>
            </w:r>
            <w:r>
              <w:rPr>
                <w:rFonts w:hint="eastAsia" w:ascii="楷体_GB2312" w:hAnsi="宋体" w:eastAsia="楷体_GB2312" w:cs="楷体_GB2312"/>
                <w:color w:val="000000"/>
                <w:szCs w:val="21"/>
              </w:rPr>
              <w:t>等。</w:t>
            </w:r>
          </w:p>
        </w:tc>
        <w:tc>
          <w:tcPr>
            <w:tcW w:w="1131" w:type="dxa"/>
            <w:vMerge w:val="restart"/>
            <w:noWrap/>
            <w:vAlign w:val="center"/>
          </w:tcPr>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r>
              <w:rPr>
                <w:rFonts w:hint="eastAsia" w:ascii="楷体_GB2312" w:eastAsia="楷体_GB2312"/>
                <w:szCs w:val="21"/>
              </w:rPr>
              <w:t>各内设部门，临港控股、空港医院、空港学校、创新创业中心</w:t>
            </w: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10" w:hRule="atLeast"/>
          <w:jc w:val="center"/>
        </w:trPr>
        <w:tc>
          <w:tcPr>
            <w:tcW w:w="750" w:type="dxa"/>
            <w:vMerge w:val="continue"/>
            <w:noWrap/>
            <w:vAlign w:val="center"/>
          </w:tcPr>
          <w:p>
            <w:pPr>
              <w:jc w:val="center"/>
              <w:rPr>
                <w:rFonts w:ascii="楷体_GB2312" w:hAnsi="宋体" w:eastAsia="楷体_GB2312" w:cs="楷体_GB2312"/>
                <w:color w:val="000000"/>
                <w:szCs w:val="21"/>
              </w:rPr>
            </w:pPr>
          </w:p>
        </w:tc>
        <w:tc>
          <w:tcPr>
            <w:tcW w:w="705" w:type="dxa"/>
            <w:noWrap/>
            <w:vAlign w:val="center"/>
          </w:tcPr>
          <w:p>
            <w:pPr>
              <w:widowControl/>
              <w:spacing w:line="320" w:lineRule="exact"/>
              <w:ind w:right="63" w:rightChars="30"/>
              <w:jc w:val="both"/>
              <w:rPr>
                <w:rFonts w:hint="eastAsia" w:ascii="楷体_GB2312" w:hAnsi="宋体" w:eastAsia="楷体_GB2312" w:cs="楷体_GB2312"/>
                <w:color w:val="000000"/>
                <w:szCs w:val="21"/>
                <w:lang w:val="en-US" w:eastAsia="zh-CN"/>
              </w:rPr>
            </w:pPr>
          </w:p>
          <w:p>
            <w:pPr>
              <w:widowControl/>
              <w:spacing w:line="320" w:lineRule="exact"/>
              <w:ind w:right="63" w:rightChars="30"/>
              <w:jc w:val="center"/>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宣传教育</w:t>
            </w:r>
          </w:p>
          <w:p>
            <w:pPr>
              <w:widowControl/>
              <w:spacing w:line="320" w:lineRule="exact"/>
              <w:ind w:right="63" w:rightChars="30"/>
              <w:jc w:val="center"/>
              <w:rPr>
                <w:rFonts w:hint="default"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情况</w:t>
            </w:r>
          </w:p>
        </w:tc>
        <w:tc>
          <w:tcPr>
            <w:tcW w:w="795" w:type="dxa"/>
            <w:noWrap/>
            <w:vAlign w:val="center"/>
          </w:tcPr>
          <w:p>
            <w:pPr>
              <w:widowControl/>
              <w:spacing w:line="320" w:lineRule="exact"/>
              <w:jc w:val="both"/>
              <w:rPr>
                <w:rFonts w:hint="eastAsia" w:ascii="楷体_GB2312" w:eastAsia="楷体_GB2312" w:cs="宋体"/>
                <w:kern w:val="0"/>
                <w:szCs w:val="21"/>
              </w:rPr>
            </w:pPr>
          </w:p>
          <w:p>
            <w:pPr>
              <w:widowControl/>
              <w:spacing w:line="320" w:lineRule="exact"/>
              <w:jc w:val="center"/>
              <w:rPr>
                <w:rFonts w:ascii="楷体_GB2312" w:eastAsia="楷体_GB2312" w:cs="宋体"/>
                <w:kern w:val="0"/>
                <w:szCs w:val="21"/>
              </w:rPr>
            </w:pPr>
            <w:r>
              <w:rPr>
                <w:rFonts w:hint="eastAsia" w:ascii="楷体_GB2312" w:eastAsia="楷体_GB2312" w:cs="宋体"/>
                <w:kern w:val="0"/>
                <w:szCs w:val="21"/>
              </w:rPr>
              <w:t>5</w:t>
            </w:r>
          </w:p>
        </w:tc>
        <w:tc>
          <w:tcPr>
            <w:tcW w:w="4038" w:type="dxa"/>
            <w:noWrap/>
            <w:vAlign w:val="center"/>
          </w:tcPr>
          <w:p>
            <w:pPr>
              <w:spacing w:line="320" w:lineRule="exact"/>
              <w:jc w:val="left"/>
              <w:textAlignment w:val="center"/>
              <w:rPr>
                <w:rFonts w:hint="eastAsia" w:ascii="楷体_GB2312" w:hAnsi="宋体" w:eastAsia="楷体_GB2312" w:cs="楷体_GB2312"/>
                <w:color w:val="000000"/>
                <w:szCs w:val="21"/>
                <w:highlight w:val="none"/>
                <w:lang w:val="en-US" w:eastAsia="zh-CN"/>
              </w:rPr>
            </w:pPr>
          </w:p>
          <w:p>
            <w:pPr>
              <w:spacing w:line="320" w:lineRule="exact"/>
              <w:jc w:val="left"/>
              <w:textAlignment w:val="center"/>
              <w:rPr>
                <w:rFonts w:ascii="楷体_GB2312" w:eastAsia="楷体_GB2312"/>
                <w:szCs w:val="21"/>
                <w:highlight w:val="none"/>
              </w:rPr>
            </w:pPr>
            <w:r>
              <w:rPr>
                <w:rFonts w:hint="eastAsia" w:ascii="楷体_GB2312" w:hAnsi="宋体" w:eastAsia="楷体_GB2312" w:cs="楷体_GB2312"/>
                <w:color w:val="000000"/>
                <w:szCs w:val="21"/>
                <w:highlight w:val="none"/>
                <w:lang w:val="en-US" w:eastAsia="zh-CN"/>
              </w:rPr>
              <w:t>是否开展经常性的全面从严治党宣传教育，特别是党章党规和党性党风党纪教育，注重发挥正反典型的示范警示作用，在本部门本单位营造全面从严治党良好氛围。</w:t>
            </w:r>
          </w:p>
        </w:tc>
        <w:tc>
          <w:tcPr>
            <w:tcW w:w="3969" w:type="dxa"/>
            <w:noWrap/>
            <w:vAlign w:val="center"/>
          </w:tcPr>
          <w:p>
            <w:pPr>
              <w:spacing w:line="320" w:lineRule="exact"/>
              <w:jc w:val="left"/>
              <w:textAlignment w:val="center"/>
              <w:rPr>
                <w:rFonts w:hint="default" w:ascii="楷体_GB2312" w:hAnsi="宋体" w:eastAsia="楷体_GB2312" w:cs="楷体_GB2312"/>
                <w:color w:val="000000"/>
                <w:szCs w:val="21"/>
                <w:highlight w:val="none"/>
                <w:lang w:val="en-US" w:eastAsia="zh-CN"/>
              </w:rPr>
            </w:pPr>
            <w:r>
              <w:rPr>
                <w:rFonts w:hint="eastAsia" w:ascii="楷体_GB2312" w:hAnsi="宋体" w:eastAsia="楷体_GB2312" w:cs="楷体_GB2312"/>
                <w:color w:val="000000"/>
                <w:szCs w:val="21"/>
                <w:highlight w:val="none"/>
                <w:lang w:val="en-US" w:eastAsia="zh-CN"/>
              </w:rPr>
              <w:t>①未把全面从严治党宣传教育纳入部门（单位）工作总体部署、支部学习内容，扣1分；</w:t>
            </w:r>
            <w:r>
              <w:rPr>
                <w:rFonts w:hint="eastAsia" w:ascii="楷体_GB2312" w:hAnsi="宋体" w:eastAsia="楷体_GB2312" w:cs="楷体_GB2312"/>
                <w:szCs w:val="21"/>
              </w:rPr>
              <w:t>②</w:t>
            </w:r>
            <w:r>
              <w:rPr>
                <w:rFonts w:hint="eastAsia" w:ascii="楷体_GB2312" w:hAnsi="宋体" w:eastAsia="楷体_GB2312" w:cs="楷体_GB2312"/>
                <w:color w:val="000000"/>
                <w:szCs w:val="21"/>
                <w:highlight w:val="none"/>
                <w:lang w:val="en-US" w:eastAsia="zh-CN"/>
              </w:rPr>
              <w:t>宣传教育未全面贯彻中央以及市委和区委、保税区党委要求，未紧密结合实际，做到经常性、常态化的，扣0.5分；</w:t>
            </w:r>
            <w:r>
              <w:rPr>
                <w:rFonts w:hint="eastAsia" w:ascii="楷体_GB2312" w:hAnsi="宋体" w:eastAsia="楷体_GB2312" w:cs="楷体_GB2312"/>
                <w:szCs w:val="21"/>
              </w:rPr>
              <w:t>③</w:t>
            </w:r>
            <w:r>
              <w:rPr>
                <w:rFonts w:hint="eastAsia" w:ascii="楷体_GB2312" w:hAnsi="宋体" w:eastAsia="楷体_GB2312" w:cs="楷体_GB2312"/>
                <w:color w:val="000000"/>
                <w:szCs w:val="21"/>
                <w:highlight w:val="none"/>
                <w:lang w:val="en-US" w:eastAsia="zh-CN"/>
              </w:rPr>
              <w:t>未运用本部门本单位发生的违纪案例开展针对性警示教育，以案促教、以案促改、以案促建的，扣1分；</w:t>
            </w:r>
            <w:r>
              <w:rPr>
                <w:rFonts w:hint="eastAsia" w:ascii="楷体_GB2312" w:hAnsi="宋体" w:eastAsia="楷体_GB2312" w:cs="楷体_GB2312"/>
                <w:kern w:val="0"/>
                <w:szCs w:val="21"/>
              </w:rPr>
              <w:t>④</w:t>
            </w:r>
            <w:r>
              <w:rPr>
                <w:rFonts w:hint="eastAsia" w:ascii="楷体_GB2312" w:hAnsi="宋体" w:eastAsia="楷体_GB2312" w:cs="楷体_GB2312"/>
                <w:color w:val="000000"/>
                <w:szCs w:val="21"/>
                <w:highlight w:val="none"/>
                <w:lang w:val="en-US" w:eastAsia="zh-CN"/>
              </w:rPr>
              <w:t>未采取实际举措，加强本部门本单位政治文化建设的，扣0.5分；</w:t>
            </w:r>
            <w:r>
              <w:rPr>
                <w:rFonts w:hint="eastAsia" w:ascii="楷体_GB2312" w:hAnsi="宋体" w:eastAsia="楷体_GB2312" w:cs="楷体_GB2312"/>
                <w:color w:val="000000"/>
                <w:szCs w:val="21"/>
                <w:lang w:val="en-US" w:eastAsia="zh-CN"/>
              </w:rPr>
              <w:t>⑤</w:t>
            </w:r>
            <w:r>
              <w:rPr>
                <w:rFonts w:hint="eastAsia" w:ascii="楷体_GB2312" w:hAnsi="宋体" w:eastAsia="楷体_GB2312" w:cs="楷体_GB2312"/>
                <w:color w:val="000000"/>
                <w:szCs w:val="21"/>
                <w:highlight w:val="none"/>
                <w:lang w:val="en-US" w:eastAsia="zh-CN"/>
              </w:rPr>
              <w:t>领导班子主要负责人本年度未讲授廉政党课，党课内容存在结合实际不紧密、照搬照抄、照本宣科等问题的，扣1分；</w:t>
            </w:r>
            <w:r>
              <w:rPr>
                <w:rFonts w:hint="eastAsia" w:ascii="楷体_GB2312" w:hAnsi="宋体" w:eastAsia="楷体_GB2312" w:cs="楷体_GB2312"/>
                <w:color w:val="000000"/>
                <w:szCs w:val="21"/>
                <w:lang w:val="en-US" w:eastAsia="zh-CN"/>
              </w:rPr>
              <w:t>⑥未</w:t>
            </w:r>
            <w:r>
              <w:rPr>
                <w:rFonts w:hint="eastAsia" w:ascii="楷体_GB2312" w:hAnsi="宋体" w:eastAsia="楷体_GB2312" w:cs="楷体_GB2312"/>
                <w:color w:val="000000"/>
                <w:szCs w:val="21"/>
                <w:highlight w:val="none"/>
                <w:lang w:val="en-US" w:eastAsia="zh-CN"/>
              </w:rPr>
              <w:t>有效发挥正面典型示范作用，激励广大党员干部担当作为，营造干事创业良好氛围的，扣0.5分。</w:t>
            </w:r>
          </w:p>
        </w:tc>
        <w:tc>
          <w:tcPr>
            <w:tcW w:w="3318" w:type="dxa"/>
            <w:tcBorders>
              <w:top w:val="single" w:color="auto" w:sz="4" w:space="0"/>
            </w:tcBorders>
            <w:noWrap/>
            <w:vAlign w:val="center"/>
          </w:tcPr>
          <w:p>
            <w:pPr>
              <w:spacing w:line="320" w:lineRule="exact"/>
              <w:textAlignment w:val="center"/>
              <w:rPr>
                <w:rFonts w:hint="eastAsia" w:ascii="楷体_GB2312" w:hAnsi="宋体" w:eastAsia="楷体_GB2312" w:cs="楷体_GB2312"/>
                <w:color w:val="000000"/>
                <w:szCs w:val="21"/>
                <w:lang w:eastAsia="zh-CN"/>
              </w:rPr>
            </w:pPr>
            <w:r>
              <w:rPr>
                <w:rFonts w:hint="eastAsia" w:ascii="楷体_GB2312" w:hAnsi="宋体" w:eastAsia="楷体_GB2312" w:cs="楷体_GB2312"/>
                <w:color w:val="000000"/>
                <w:szCs w:val="21"/>
                <w:highlight w:val="none"/>
                <w:lang w:val="en-US" w:eastAsia="zh-CN"/>
              </w:rPr>
              <w:t>部门（单位）工作总体部署、支部学习计划，反面典型警示教育及正面典型学习宣传记录、照片，</w:t>
            </w:r>
            <w:r>
              <w:rPr>
                <w:rFonts w:hint="eastAsia" w:ascii="楷体_GB2312" w:hAnsi="宋体" w:eastAsia="楷体_GB2312" w:cs="楷体_GB2312"/>
                <w:color w:val="000000"/>
                <w:szCs w:val="21"/>
              </w:rPr>
              <w:t>支部书记廉政党课提纲及党课照片等</w:t>
            </w:r>
            <w:r>
              <w:rPr>
                <w:rFonts w:hint="eastAsia" w:ascii="楷体_GB2312" w:hAnsi="宋体" w:eastAsia="楷体_GB2312" w:cs="楷体_GB2312"/>
                <w:color w:val="000000"/>
                <w:szCs w:val="21"/>
                <w:lang w:eastAsia="zh-CN"/>
              </w:rPr>
              <w:t>。</w:t>
            </w:r>
          </w:p>
        </w:tc>
        <w:tc>
          <w:tcPr>
            <w:tcW w:w="1131" w:type="dxa"/>
            <w:vMerge w:val="continue"/>
            <w:noWrap/>
            <w:vAlign w:val="center"/>
          </w:tcPr>
          <w:p>
            <w:pPr>
              <w:jc w:val="center"/>
              <w:rPr>
                <w:rFonts w:ascii="楷体_GB2312" w:hAnsi="宋体" w:eastAsia="楷体_GB2312" w:cs="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55" w:hRule="atLeast"/>
          <w:jc w:val="center"/>
        </w:trPr>
        <w:tc>
          <w:tcPr>
            <w:tcW w:w="750" w:type="dxa"/>
            <w:vMerge w:val="continue"/>
            <w:noWrap/>
            <w:vAlign w:val="center"/>
          </w:tcPr>
          <w:p>
            <w:pPr>
              <w:jc w:val="center"/>
              <w:rPr>
                <w:rFonts w:ascii="楷体_GB2312" w:hAnsi="宋体" w:eastAsia="楷体_GB2312" w:cs="楷体_GB2312"/>
                <w:color w:val="000000"/>
                <w:szCs w:val="21"/>
              </w:rPr>
            </w:pPr>
          </w:p>
        </w:tc>
        <w:tc>
          <w:tcPr>
            <w:tcW w:w="705" w:type="dxa"/>
            <w:tcBorders>
              <w:top w:val="single" w:color="auto" w:sz="4" w:space="0"/>
            </w:tcBorders>
            <w:noWrap/>
            <w:vAlign w:val="center"/>
          </w:tcPr>
          <w:p>
            <w:pPr>
              <w:widowControl/>
              <w:spacing w:line="320" w:lineRule="exact"/>
              <w:ind w:right="63" w:rightChars="30"/>
              <w:jc w:val="both"/>
              <w:textAlignment w:val="center"/>
              <w:rPr>
                <w:rFonts w:ascii="楷体_GB2312" w:eastAsia="楷体_GB2312"/>
                <w:color w:val="000000"/>
                <w:kern w:val="0"/>
                <w:szCs w:val="21"/>
              </w:rPr>
            </w:pPr>
            <w:r>
              <w:rPr>
                <w:rFonts w:hint="eastAsia" w:ascii="楷体_GB2312" w:hAnsi="宋体" w:eastAsia="楷体_GB2312" w:cs="楷体_GB2312"/>
                <w:color w:val="000000"/>
                <w:szCs w:val="21"/>
                <w:lang w:val="en-US" w:eastAsia="zh-CN"/>
              </w:rPr>
              <w:t>谈话约谈情况</w:t>
            </w:r>
          </w:p>
        </w:tc>
        <w:tc>
          <w:tcPr>
            <w:tcW w:w="795" w:type="dxa"/>
            <w:tcBorders>
              <w:top w:val="single" w:color="auto" w:sz="4" w:space="0"/>
            </w:tcBorders>
            <w:noWrap/>
            <w:vAlign w:val="center"/>
          </w:tcPr>
          <w:p>
            <w:pPr>
              <w:widowControl/>
              <w:spacing w:line="320" w:lineRule="exact"/>
              <w:jc w:val="center"/>
              <w:textAlignment w:val="center"/>
              <w:rPr>
                <w:rFonts w:ascii="楷体_GB2312" w:eastAsia="楷体_GB2312"/>
                <w:color w:val="000000"/>
                <w:kern w:val="0"/>
                <w:szCs w:val="21"/>
              </w:rPr>
            </w:pPr>
            <w:r>
              <w:rPr>
                <w:rFonts w:hint="eastAsia" w:ascii="楷体_GB2312" w:eastAsia="楷体_GB2312"/>
                <w:color w:val="000000"/>
                <w:kern w:val="0"/>
                <w:szCs w:val="21"/>
              </w:rPr>
              <w:t>5</w:t>
            </w:r>
          </w:p>
        </w:tc>
        <w:tc>
          <w:tcPr>
            <w:tcW w:w="4038" w:type="dxa"/>
            <w:tcBorders>
              <w:top w:val="single" w:color="auto" w:sz="4" w:space="0"/>
            </w:tcBorders>
            <w:noWrap/>
            <w:vAlign w:val="center"/>
          </w:tcPr>
          <w:p>
            <w:pPr>
              <w:spacing w:line="320" w:lineRule="exact"/>
              <w:textAlignment w:val="center"/>
              <w:rPr>
                <w:rFonts w:ascii="楷体_GB2312" w:hAnsi="宋体" w:eastAsia="楷体_GB2312" w:cs="楷体_GB2312"/>
                <w:szCs w:val="21"/>
              </w:rPr>
            </w:pPr>
            <w:r>
              <w:rPr>
                <w:rFonts w:hint="eastAsia" w:ascii="楷体_GB2312" w:hAnsi="宋体" w:eastAsia="楷体_GB2312" w:cs="楷体_GB2312"/>
                <w:color w:val="000000"/>
                <w:szCs w:val="21"/>
                <w:highlight w:val="none"/>
                <w:lang w:val="en-US" w:eastAsia="zh-CN"/>
              </w:rPr>
              <w:t>本年度是否采取个别谈话、集体谈话等方式开展履职谈话和廉政谈话；发现存在政治、思想、工作、生活、作风、纪律等方面苗头性、倾向性问题的，是否及时进行提醒谈话；发现落实全面从严治党责任不到位、管党治党问题较多、党员群众来信来访反映问题较多的，是否及时进行约谈，严肃批评教育，督促落实责任。</w:t>
            </w:r>
          </w:p>
        </w:tc>
        <w:tc>
          <w:tcPr>
            <w:tcW w:w="3969" w:type="dxa"/>
            <w:tcBorders>
              <w:top w:val="single" w:color="auto" w:sz="4" w:space="0"/>
            </w:tcBorders>
            <w:noWrap/>
            <w:vAlign w:val="center"/>
          </w:tcPr>
          <w:p>
            <w:pPr>
              <w:spacing w:line="320" w:lineRule="exact"/>
              <w:jc w:val="left"/>
              <w:textAlignment w:val="center"/>
              <w:rPr>
                <w:rFonts w:hint="eastAsia" w:ascii="楷体_GB2312" w:eastAsia="楷体_GB2312"/>
                <w:color w:val="000000"/>
                <w:kern w:val="0"/>
                <w:szCs w:val="21"/>
              </w:rPr>
            </w:pPr>
            <w:r>
              <w:rPr>
                <w:rFonts w:hint="eastAsia" w:ascii="楷体_GB2312" w:hAnsi="宋体" w:eastAsia="楷体_GB2312" w:cs="楷体_GB2312"/>
                <w:color w:val="000000"/>
                <w:szCs w:val="21"/>
                <w:highlight w:val="none"/>
                <w:lang w:val="en-US" w:eastAsia="zh-CN"/>
              </w:rPr>
              <w:t>①主要负责人对领导班子其他成员、领导班子其他成员对分管科室干部，在本年度未采取个别谈话、集体谈话等方式开展履职谈话和廉政谈话的，扣2分；</w:t>
            </w:r>
            <w:r>
              <w:rPr>
                <w:rFonts w:hint="eastAsia" w:ascii="楷体_GB2312" w:hAnsi="宋体" w:eastAsia="楷体_GB2312" w:cs="楷体_GB2312"/>
                <w:szCs w:val="21"/>
              </w:rPr>
              <w:t>②</w:t>
            </w:r>
            <w:r>
              <w:rPr>
                <w:rFonts w:hint="eastAsia" w:ascii="楷体_GB2312" w:hAnsi="宋体" w:eastAsia="楷体_GB2312" w:cs="楷体_GB2312"/>
                <w:color w:val="000000"/>
                <w:szCs w:val="21"/>
                <w:highlight w:val="none"/>
                <w:lang w:val="en-US" w:eastAsia="zh-CN"/>
              </w:rPr>
              <w:t>谈话简单随意，针对性不强，只点成绩不点问题，只提希望不提差距，履职和廉政谈话内容混淆的，扣1分；</w:t>
            </w:r>
            <w:r>
              <w:rPr>
                <w:rFonts w:hint="eastAsia" w:ascii="楷体_GB2312" w:hAnsi="宋体" w:eastAsia="楷体_GB2312" w:cs="楷体_GB2312"/>
                <w:szCs w:val="21"/>
              </w:rPr>
              <w:t>③</w:t>
            </w:r>
            <w:r>
              <w:rPr>
                <w:rFonts w:hint="eastAsia" w:ascii="楷体_GB2312" w:hAnsi="宋体" w:eastAsia="楷体_GB2312" w:cs="楷体_GB2312"/>
                <w:color w:val="000000"/>
                <w:szCs w:val="21"/>
                <w:highlight w:val="none"/>
                <w:lang w:val="en-US" w:eastAsia="zh-CN"/>
              </w:rPr>
              <w:t>主要负责人对领导班子其他成员、领导班子其他成员对分管科室干部，发现苗头性、倾向性问题，未及时提醒谈话；发现落实全面从严治党责任不到位、管党治党问题较多、党员群众来信来访反映问题较多的未及时进行约谈的，每项扣0.5分；</w:t>
            </w:r>
            <w:r>
              <w:rPr>
                <w:rFonts w:hint="eastAsia" w:ascii="楷体_GB2312" w:hAnsi="宋体" w:eastAsia="楷体_GB2312" w:cs="楷体_GB2312"/>
                <w:kern w:val="0"/>
                <w:szCs w:val="21"/>
              </w:rPr>
              <w:t>④</w:t>
            </w:r>
            <w:r>
              <w:rPr>
                <w:rFonts w:hint="eastAsia" w:ascii="楷体_GB2312" w:hAnsi="宋体" w:eastAsia="楷体_GB2312" w:cs="楷体_GB2312"/>
                <w:color w:val="000000"/>
                <w:szCs w:val="21"/>
                <w:highlight w:val="none"/>
                <w:lang w:val="en-US" w:eastAsia="zh-CN"/>
              </w:rPr>
              <w:t>领导班子未认真组织开展对受处分（处理）人员帮扶教育，有针对性地做好思想政治工作的，扣1分。</w:t>
            </w:r>
          </w:p>
        </w:tc>
        <w:tc>
          <w:tcPr>
            <w:tcW w:w="3318" w:type="dxa"/>
            <w:tcBorders>
              <w:top w:val="single" w:color="auto" w:sz="4" w:space="0"/>
            </w:tcBorders>
            <w:noWrap/>
            <w:vAlign w:val="center"/>
          </w:tcPr>
          <w:p>
            <w:pPr>
              <w:spacing w:line="320" w:lineRule="exact"/>
              <w:textAlignment w:val="center"/>
              <w:rPr>
                <w:rFonts w:hint="default" w:ascii="楷体_GB2312" w:hAnsi="宋体" w:eastAsia="楷体_GB2312" w:cs="楷体_GB2312"/>
                <w:color w:val="000000"/>
                <w:szCs w:val="21"/>
                <w:lang w:val="en-US" w:eastAsia="zh-CN"/>
              </w:rPr>
            </w:pPr>
            <w:r>
              <w:rPr>
                <w:rFonts w:hint="eastAsia" w:ascii="楷体_GB2312" w:hAnsi="宋体" w:eastAsia="楷体_GB2312" w:cs="楷体_GB2312"/>
                <w:color w:val="000000"/>
                <w:szCs w:val="21"/>
                <w:highlight w:val="none"/>
                <w:lang w:val="en-US" w:eastAsia="zh-CN"/>
              </w:rPr>
              <w:t>履职谈话和廉政谈话记录，其他谈话约谈记录；对受处分（处理）人员的帮扶教育材料。</w:t>
            </w:r>
          </w:p>
        </w:tc>
        <w:tc>
          <w:tcPr>
            <w:tcW w:w="1131" w:type="dxa"/>
            <w:vMerge w:val="restart"/>
            <w:noWrap/>
            <w:vAlign w:val="center"/>
          </w:tcPr>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center"/>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r>
              <w:rPr>
                <w:rFonts w:hint="eastAsia" w:ascii="楷体_GB2312" w:eastAsia="楷体_GB2312"/>
                <w:szCs w:val="21"/>
              </w:rPr>
              <w:t>各内设部门，临港控股、空港医院、空港学校、创新创业中心</w:t>
            </w: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p>
            <w:pPr>
              <w:jc w:val="both"/>
              <w:rPr>
                <w:rFonts w:hint="eastAsia" w:ascii="楷体_GB2312" w:eastAsia="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30" w:hRule="atLeast"/>
          <w:jc w:val="center"/>
        </w:trPr>
        <w:tc>
          <w:tcPr>
            <w:tcW w:w="750" w:type="dxa"/>
            <w:vMerge w:val="continue"/>
            <w:noWrap/>
            <w:vAlign w:val="center"/>
          </w:tcPr>
          <w:p>
            <w:pPr>
              <w:jc w:val="left"/>
              <w:rPr>
                <w:rFonts w:ascii="楷体_GB2312" w:hAnsi="宋体" w:eastAsia="楷体_GB2312" w:cs="楷体_GB2312"/>
                <w:color w:val="000000"/>
                <w:szCs w:val="21"/>
              </w:rPr>
            </w:pPr>
          </w:p>
        </w:tc>
        <w:tc>
          <w:tcPr>
            <w:tcW w:w="705" w:type="dxa"/>
            <w:noWrap/>
            <w:vAlign w:val="center"/>
          </w:tcPr>
          <w:p>
            <w:pPr>
              <w:widowControl/>
              <w:spacing w:line="320" w:lineRule="exact"/>
              <w:jc w:val="center"/>
              <w:textAlignment w:val="center"/>
              <w:rPr>
                <w:rFonts w:ascii="楷体_GB2312" w:eastAsia="楷体_GB2312"/>
                <w:color w:val="000000"/>
                <w:kern w:val="0"/>
                <w:szCs w:val="21"/>
              </w:rPr>
            </w:pPr>
            <w:r>
              <w:rPr>
                <w:rFonts w:hint="eastAsia" w:ascii="楷体_GB2312" w:hAnsi="宋体" w:eastAsia="楷体_GB2312" w:cs="楷体_GB2312"/>
                <w:color w:val="000000"/>
                <w:szCs w:val="21"/>
                <w:lang w:val="en-US" w:eastAsia="zh-CN"/>
              </w:rPr>
              <w:t>通报公开情况</w:t>
            </w:r>
          </w:p>
        </w:tc>
        <w:tc>
          <w:tcPr>
            <w:tcW w:w="795" w:type="dxa"/>
            <w:noWrap/>
            <w:vAlign w:val="center"/>
          </w:tcPr>
          <w:p>
            <w:pPr>
              <w:widowControl/>
              <w:spacing w:line="320" w:lineRule="exact"/>
              <w:jc w:val="center"/>
              <w:textAlignment w:val="center"/>
              <w:rPr>
                <w:rFonts w:ascii="楷体_GB2312" w:eastAsia="楷体_GB2312"/>
                <w:color w:val="000000"/>
                <w:kern w:val="0"/>
                <w:szCs w:val="21"/>
              </w:rPr>
            </w:pPr>
            <w:r>
              <w:rPr>
                <w:rFonts w:hint="eastAsia" w:ascii="楷体_GB2312" w:eastAsia="楷体_GB2312"/>
                <w:color w:val="000000"/>
                <w:kern w:val="0"/>
                <w:szCs w:val="21"/>
              </w:rPr>
              <w:t>5</w:t>
            </w:r>
          </w:p>
        </w:tc>
        <w:tc>
          <w:tcPr>
            <w:tcW w:w="4038" w:type="dxa"/>
            <w:tcBorders>
              <w:bottom w:val="single" w:color="auto" w:sz="4" w:space="0"/>
            </w:tcBorders>
            <w:noWrap/>
            <w:vAlign w:val="center"/>
          </w:tcPr>
          <w:p>
            <w:pPr>
              <w:spacing w:line="320" w:lineRule="exact"/>
              <w:jc w:val="left"/>
              <w:textAlignment w:val="center"/>
              <w:rPr>
                <w:rFonts w:ascii="楷体_GB2312" w:eastAsia="楷体_GB2312"/>
                <w:szCs w:val="21"/>
              </w:rPr>
            </w:pPr>
            <w:r>
              <w:rPr>
                <w:rFonts w:hint="eastAsia" w:ascii="楷体_GB2312" w:hAnsi="宋体" w:eastAsia="楷体_GB2312" w:cs="楷体_GB2312"/>
                <w:color w:val="000000"/>
                <w:szCs w:val="21"/>
                <w:highlight w:val="none"/>
                <w:lang w:val="en-US" w:eastAsia="zh-CN"/>
              </w:rPr>
              <w:t>是否通报本部门本单位落实全面从严治党主体责任情况，及时通报因责任落实不力被问责的典型问题，采取组织调整或者组织处理、纪律处分方式问责的，是否以适当方式公开。</w:t>
            </w:r>
          </w:p>
        </w:tc>
        <w:tc>
          <w:tcPr>
            <w:tcW w:w="3969" w:type="dxa"/>
            <w:tcBorders>
              <w:bottom w:val="single" w:color="auto" w:sz="4" w:space="0"/>
            </w:tcBorders>
            <w:noWrap/>
            <w:vAlign w:val="center"/>
          </w:tcPr>
          <w:p>
            <w:pPr>
              <w:spacing w:line="320" w:lineRule="exact"/>
              <w:jc w:val="left"/>
              <w:textAlignment w:val="center"/>
              <w:rPr>
                <w:rFonts w:hint="eastAsia" w:ascii="楷体_GB2312" w:hAnsi="宋体" w:eastAsia="楷体_GB2312" w:cs="楷体_GB2312"/>
                <w:color w:val="000000"/>
                <w:szCs w:val="21"/>
                <w:highlight w:val="none"/>
                <w:lang w:val="en-US" w:eastAsia="zh-CN"/>
              </w:rPr>
            </w:pPr>
            <w:r>
              <w:rPr>
                <w:rFonts w:hint="eastAsia" w:ascii="楷体_GB2312" w:hAnsi="宋体" w:eastAsia="楷体_GB2312" w:cs="楷体_GB2312"/>
                <w:color w:val="000000"/>
                <w:szCs w:val="21"/>
                <w:highlight w:val="none"/>
                <w:lang w:val="en-US" w:eastAsia="zh-CN"/>
              </w:rPr>
              <w:t>①本年度未通过会议、文件等形式，通报本部门本单位落实全面从严治党主体责任情况的，扣0.5分；</w:t>
            </w:r>
            <w:r>
              <w:rPr>
                <w:rFonts w:hint="eastAsia" w:ascii="楷体_GB2312" w:hAnsi="宋体" w:eastAsia="楷体_GB2312" w:cs="楷体_GB2312"/>
                <w:szCs w:val="21"/>
              </w:rPr>
              <w:t>②</w:t>
            </w:r>
            <w:r>
              <w:rPr>
                <w:rFonts w:hint="eastAsia" w:ascii="楷体_GB2312" w:hAnsi="宋体" w:eastAsia="楷体_GB2312" w:cs="楷体_GB2312"/>
                <w:color w:val="000000"/>
                <w:szCs w:val="21"/>
                <w:highlight w:val="none"/>
                <w:lang w:val="en-US" w:eastAsia="zh-CN"/>
              </w:rPr>
              <w:t>未及时通报因责任落实不力被问责的典型问题的，扣1分；</w:t>
            </w:r>
            <w:r>
              <w:rPr>
                <w:rFonts w:hint="eastAsia" w:ascii="楷体_GB2312" w:hAnsi="宋体" w:eastAsia="楷体_GB2312" w:cs="楷体_GB2312"/>
                <w:szCs w:val="21"/>
              </w:rPr>
              <w:t>③</w:t>
            </w:r>
            <w:r>
              <w:rPr>
                <w:rFonts w:hint="eastAsia" w:ascii="楷体_GB2312" w:hAnsi="宋体" w:eastAsia="楷体_GB2312" w:cs="楷体_GB2312"/>
                <w:color w:val="000000"/>
                <w:szCs w:val="21"/>
                <w:highlight w:val="none"/>
                <w:lang w:val="en-US" w:eastAsia="zh-CN"/>
              </w:rPr>
              <w:t>对采取组织调整或者组织处理、纪律处分方式问责的典型问题，未以适当方式公开的，扣1分。</w:t>
            </w:r>
          </w:p>
        </w:tc>
        <w:tc>
          <w:tcPr>
            <w:tcW w:w="3318" w:type="dxa"/>
            <w:tcBorders>
              <w:top w:val="single" w:color="auto" w:sz="4" w:space="0"/>
            </w:tcBorders>
            <w:noWrap/>
            <w:vAlign w:val="center"/>
          </w:tcPr>
          <w:p>
            <w:pPr>
              <w:widowControl/>
              <w:jc w:val="left"/>
              <w:rPr>
                <w:rFonts w:hint="default"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通报公开的会议记录、文件等。</w:t>
            </w:r>
          </w:p>
        </w:tc>
        <w:tc>
          <w:tcPr>
            <w:tcW w:w="1131" w:type="dxa"/>
            <w:vMerge w:val="continue"/>
            <w:noWrap/>
            <w:vAlign w:val="center"/>
          </w:tcPr>
          <w:p>
            <w:pPr>
              <w:jc w:val="center"/>
              <w:rPr>
                <w:rFonts w:ascii="楷体_GB2312" w:hAnsi="宋体" w:eastAsia="楷体_GB2312" w:cs="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5" w:hRule="atLeast"/>
          <w:jc w:val="center"/>
        </w:trPr>
        <w:tc>
          <w:tcPr>
            <w:tcW w:w="750" w:type="dxa"/>
            <w:vMerge w:val="continue"/>
            <w:noWrap/>
            <w:vAlign w:val="center"/>
          </w:tcPr>
          <w:p>
            <w:pPr>
              <w:jc w:val="left"/>
              <w:rPr>
                <w:rFonts w:ascii="楷体_GB2312" w:hAnsi="宋体" w:eastAsia="楷体_GB2312" w:cs="楷体_GB2312"/>
                <w:color w:val="000000"/>
                <w:szCs w:val="21"/>
              </w:rPr>
            </w:pPr>
          </w:p>
        </w:tc>
        <w:tc>
          <w:tcPr>
            <w:tcW w:w="705" w:type="dxa"/>
            <w:noWrap/>
            <w:vAlign w:val="center"/>
          </w:tcPr>
          <w:p>
            <w:pPr>
              <w:widowControl/>
              <w:spacing w:line="320" w:lineRule="exact"/>
              <w:jc w:val="center"/>
              <w:textAlignment w:val="center"/>
              <w:rPr>
                <w:rFonts w:hint="eastAsia" w:ascii="楷体_GB2312" w:hAnsi="宋体" w:eastAsia="楷体_GB2312" w:cs="楷体_GB2312"/>
                <w:color w:val="000000"/>
                <w:szCs w:val="21"/>
                <w:lang w:val="en-US" w:eastAsia="zh-CN"/>
              </w:rPr>
            </w:pPr>
          </w:p>
          <w:p>
            <w:pPr>
              <w:widowControl/>
              <w:spacing w:line="320" w:lineRule="exact"/>
              <w:jc w:val="center"/>
              <w:textAlignment w:val="center"/>
              <w:rPr>
                <w:rFonts w:hint="eastAsia" w:ascii="楷体_GB2312" w:eastAsia="仿宋_GB2312"/>
                <w:color w:val="000000"/>
                <w:kern w:val="0"/>
                <w:szCs w:val="21"/>
                <w:lang w:val="en-US" w:eastAsia="zh-CN"/>
              </w:rPr>
            </w:pPr>
            <w:r>
              <w:rPr>
                <w:rFonts w:hint="eastAsia" w:ascii="楷体_GB2312" w:hAnsi="宋体" w:eastAsia="楷体_GB2312" w:cs="楷体_GB2312"/>
                <w:color w:val="000000"/>
                <w:szCs w:val="21"/>
                <w:lang w:val="en-US" w:eastAsia="zh-CN"/>
              </w:rPr>
              <w:t>能力作风建设情况</w:t>
            </w:r>
          </w:p>
        </w:tc>
        <w:tc>
          <w:tcPr>
            <w:tcW w:w="795" w:type="dxa"/>
            <w:noWrap/>
            <w:vAlign w:val="center"/>
          </w:tcPr>
          <w:p>
            <w:pPr>
              <w:widowControl/>
              <w:spacing w:line="320" w:lineRule="exact"/>
              <w:jc w:val="both"/>
              <w:textAlignment w:val="center"/>
              <w:rPr>
                <w:rFonts w:ascii="楷体_GB2312" w:eastAsia="楷体_GB2312"/>
                <w:color w:val="000000"/>
                <w:kern w:val="0"/>
                <w:szCs w:val="21"/>
              </w:rPr>
            </w:pPr>
          </w:p>
          <w:p>
            <w:pPr>
              <w:widowControl/>
              <w:spacing w:line="320" w:lineRule="exact"/>
              <w:jc w:val="center"/>
              <w:textAlignment w:val="center"/>
              <w:rPr>
                <w:rFonts w:ascii="楷体_GB2312" w:eastAsia="楷体_GB2312"/>
                <w:color w:val="000000"/>
                <w:kern w:val="0"/>
                <w:szCs w:val="21"/>
              </w:rPr>
            </w:pPr>
            <w:r>
              <w:rPr>
                <w:rFonts w:hint="eastAsia" w:ascii="楷体_GB2312" w:eastAsia="楷体_GB2312"/>
                <w:color w:val="000000"/>
                <w:kern w:val="0"/>
                <w:szCs w:val="21"/>
              </w:rPr>
              <w:t>10</w:t>
            </w:r>
          </w:p>
        </w:tc>
        <w:tc>
          <w:tcPr>
            <w:tcW w:w="4038" w:type="dxa"/>
            <w:noWrap/>
            <w:vAlign w:val="center"/>
          </w:tcPr>
          <w:p>
            <w:pPr>
              <w:spacing w:line="320" w:lineRule="exact"/>
              <w:jc w:val="left"/>
              <w:textAlignment w:val="center"/>
              <w:rPr>
                <w:rFonts w:hint="eastAsia" w:ascii="楷体_GB2312" w:hAnsi="宋体" w:eastAsia="楷体_GB2312" w:cs="楷体_GB2312"/>
                <w:color w:val="000000"/>
                <w:szCs w:val="21"/>
                <w:highlight w:val="none"/>
                <w:lang w:val="en-US" w:eastAsia="zh-CN"/>
              </w:rPr>
            </w:pPr>
          </w:p>
          <w:p>
            <w:pPr>
              <w:spacing w:line="320" w:lineRule="exact"/>
              <w:jc w:val="left"/>
              <w:textAlignment w:val="center"/>
              <w:rPr>
                <w:rFonts w:hint="eastAsia" w:ascii="楷体_GB2312" w:hAnsi="宋体" w:eastAsia="楷体_GB2312" w:cs="楷体_GB2312"/>
                <w:color w:val="000000"/>
                <w:szCs w:val="21"/>
                <w:highlight w:val="none"/>
                <w:lang w:val="en-US" w:eastAsia="zh-CN"/>
              </w:rPr>
            </w:pPr>
          </w:p>
          <w:p>
            <w:pPr>
              <w:spacing w:line="320" w:lineRule="exact"/>
              <w:jc w:val="left"/>
              <w:textAlignment w:val="center"/>
              <w:rPr>
                <w:rFonts w:hint="eastAsia" w:ascii="楷体_GB2312" w:hAnsi="宋体" w:eastAsia="楷体_GB2312" w:cs="楷体_GB2312"/>
                <w:color w:val="000000"/>
                <w:szCs w:val="21"/>
                <w:highlight w:val="none"/>
                <w:lang w:val="en-US" w:eastAsia="zh-CN"/>
              </w:rPr>
            </w:pPr>
          </w:p>
          <w:p>
            <w:pPr>
              <w:spacing w:line="320" w:lineRule="exact"/>
              <w:jc w:val="left"/>
              <w:textAlignment w:val="center"/>
              <w:rPr>
                <w:rFonts w:hint="eastAsia" w:ascii="楷体_GB2312" w:hAnsi="宋体" w:eastAsia="楷体_GB2312" w:cs="楷体_GB2312"/>
                <w:color w:val="000000"/>
                <w:szCs w:val="21"/>
                <w:highlight w:val="none"/>
                <w:lang w:val="en-US" w:eastAsia="zh-CN"/>
              </w:rPr>
            </w:pPr>
            <w:r>
              <w:rPr>
                <w:rFonts w:hint="eastAsia" w:ascii="楷体_GB2312" w:hAnsi="宋体" w:eastAsia="楷体_GB2312" w:cs="楷体_GB2312"/>
                <w:color w:val="000000"/>
                <w:szCs w:val="21"/>
                <w:highlight w:val="none"/>
                <w:lang w:val="en-US" w:eastAsia="zh-CN"/>
              </w:rPr>
              <w:t>是否开展有针对性的教育培训，强化政治教育和政治训练，增强本部门本单位党组织和党员领导干部落实全面从严治党责任的意识，提高落实全面从严治党责任的能力和水平。</w:t>
            </w:r>
          </w:p>
          <w:p>
            <w:pPr>
              <w:widowControl w:val="0"/>
              <w:numPr>
                <w:ilvl w:val="0"/>
                <w:numId w:val="0"/>
              </w:numPr>
              <w:tabs>
                <w:tab w:val="left" w:pos="312"/>
              </w:tabs>
              <w:spacing w:line="320" w:lineRule="exact"/>
              <w:jc w:val="left"/>
              <w:textAlignment w:val="center"/>
              <w:rPr>
                <w:rFonts w:hint="eastAsia" w:ascii="楷体_GB2312" w:eastAsia="楷体_GB2312"/>
                <w:szCs w:val="21"/>
              </w:rPr>
            </w:pPr>
          </w:p>
        </w:tc>
        <w:tc>
          <w:tcPr>
            <w:tcW w:w="3969" w:type="dxa"/>
            <w:tcBorders>
              <w:bottom w:val="single" w:color="auto" w:sz="4" w:space="0"/>
            </w:tcBorders>
            <w:noWrap/>
            <w:vAlign w:val="center"/>
          </w:tcPr>
          <w:p>
            <w:pPr>
              <w:spacing w:line="300" w:lineRule="exact"/>
              <w:jc w:val="left"/>
              <w:rPr>
                <w:rFonts w:ascii="楷体_GB2312" w:hAnsi="宋体" w:eastAsia="楷体_GB2312" w:cs="楷体_GB2312"/>
                <w:color w:val="000000"/>
                <w:szCs w:val="21"/>
              </w:rPr>
            </w:pPr>
            <w:r>
              <w:rPr>
                <w:rFonts w:hint="eastAsia" w:ascii="楷体_GB2312" w:hAnsi="宋体" w:eastAsia="楷体_GB2312" w:cs="楷体_GB2312"/>
                <w:color w:val="000000"/>
                <w:szCs w:val="21"/>
                <w:lang w:val="en-US" w:eastAsia="zh-CN"/>
              </w:rPr>
              <w:t>①教育培训未注重强化政治教育和政治训练，组织推动党员、干部深入学习习近平新时代中国特色社会主义思想，跟进学习领会党中央以及市委和区委、保税区党委新部署新要求，增强“四个意识”、坚定“四个自信”、坚决做到“两个维护”的，扣1分；②全面从严治党教育培训未紧密结合本部门本单位实际，未紧盯关键岗、关键人、关键事和关键环节，做到精准聚焦、有的放矢的，扣0.5分；③本部门本单位党组织存在管党治党宽松软等突出问题，领导干部存在廉洁问题和被问责现象的，党员干部存在“吃拿卡要”现象和有关违纪违法行为的、存在违反中央八项规定精神问题的、存在不作为不担当被上级发现处理的，每人次扣2分。</w:t>
            </w:r>
          </w:p>
        </w:tc>
        <w:tc>
          <w:tcPr>
            <w:tcW w:w="3318" w:type="dxa"/>
            <w:tcBorders>
              <w:top w:val="single" w:color="auto" w:sz="4" w:space="0"/>
            </w:tcBorders>
            <w:noWrap/>
            <w:vAlign w:val="center"/>
          </w:tcPr>
          <w:p>
            <w:pPr>
              <w:widowControl/>
              <w:jc w:val="left"/>
              <w:rPr>
                <w:rFonts w:hint="default"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部门（单位）教育培训材料；有关违纪违法行为处理决定。</w:t>
            </w:r>
          </w:p>
        </w:tc>
        <w:tc>
          <w:tcPr>
            <w:tcW w:w="1131" w:type="dxa"/>
            <w:vMerge w:val="restart"/>
            <w:noWrap/>
            <w:vAlign w:val="center"/>
          </w:tcPr>
          <w:p>
            <w:pPr>
              <w:jc w:val="center"/>
              <w:rPr>
                <w:rFonts w:hint="eastAsia" w:ascii="楷体_GB2312" w:eastAsia="楷体_GB2312"/>
                <w:szCs w:val="21"/>
              </w:rPr>
            </w:pPr>
          </w:p>
          <w:p>
            <w:pPr>
              <w:jc w:val="center"/>
              <w:rPr>
                <w:rFonts w:hint="eastAsia" w:ascii="楷体_GB2312" w:eastAsia="楷体_GB2312"/>
                <w:szCs w:val="21"/>
              </w:rPr>
            </w:pPr>
          </w:p>
          <w:p>
            <w:pPr>
              <w:jc w:val="center"/>
              <w:rPr>
                <w:rFonts w:ascii="楷体_GB2312" w:eastAsia="楷体_GB2312"/>
                <w:szCs w:val="21"/>
              </w:rPr>
            </w:pPr>
            <w:r>
              <w:rPr>
                <w:rFonts w:hint="eastAsia" w:ascii="楷体_GB2312" w:eastAsia="楷体_GB2312"/>
                <w:szCs w:val="21"/>
              </w:rPr>
              <w:t>各内设部门，临港控股、空港医院、空港学校、创新创业中心</w:t>
            </w:r>
          </w:p>
          <w:p>
            <w:pPr>
              <w:jc w:val="center"/>
              <w:rPr>
                <w:rFonts w:ascii="楷体_GB2312" w:hAnsi="宋体" w:eastAsia="楷体_GB2312" w:cs="楷体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0" w:hRule="atLeast"/>
          <w:jc w:val="center"/>
        </w:trPr>
        <w:tc>
          <w:tcPr>
            <w:tcW w:w="750" w:type="dxa"/>
            <w:vMerge w:val="continue"/>
            <w:noWrap/>
            <w:vAlign w:val="center"/>
          </w:tcPr>
          <w:p>
            <w:pPr>
              <w:jc w:val="left"/>
              <w:rPr>
                <w:rFonts w:ascii="楷体_GB2312" w:hAnsi="宋体" w:eastAsia="楷体_GB2312" w:cs="楷体_GB2312"/>
                <w:color w:val="000000"/>
                <w:szCs w:val="21"/>
              </w:rPr>
            </w:pPr>
          </w:p>
        </w:tc>
        <w:tc>
          <w:tcPr>
            <w:tcW w:w="705" w:type="dxa"/>
            <w:noWrap/>
            <w:vAlign w:val="center"/>
          </w:tcPr>
          <w:p>
            <w:pPr>
              <w:widowControl/>
              <w:spacing w:line="320" w:lineRule="exact"/>
              <w:jc w:val="center"/>
              <w:textAlignment w:val="center"/>
              <w:rPr>
                <w:rFonts w:ascii="楷体_GB2312" w:eastAsia="楷体_GB2312" w:cs="楷体_GB2312"/>
                <w:color w:val="000000"/>
                <w:kern w:val="0"/>
                <w:szCs w:val="21"/>
              </w:rPr>
            </w:pPr>
            <w:r>
              <w:rPr>
                <w:rFonts w:hint="eastAsia" w:ascii="楷体_GB2312" w:hAnsi="宋体" w:eastAsia="楷体_GB2312" w:cs="楷体_GB2312"/>
                <w:color w:val="000000"/>
                <w:szCs w:val="21"/>
                <w:lang w:val="en-US" w:eastAsia="zh-CN"/>
              </w:rPr>
              <w:t>满意度测评情况</w:t>
            </w:r>
          </w:p>
        </w:tc>
        <w:tc>
          <w:tcPr>
            <w:tcW w:w="795" w:type="dxa"/>
            <w:noWrap/>
            <w:vAlign w:val="center"/>
          </w:tcPr>
          <w:p>
            <w:pPr>
              <w:widowControl/>
              <w:spacing w:line="320" w:lineRule="exact"/>
              <w:jc w:val="center"/>
              <w:textAlignment w:val="center"/>
              <w:rPr>
                <w:rFonts w:ascii="楷体_GB2312" w:eastAsia="楷体_GB2312"/>
                <w:color w:val="000000"/>
                <w:kern w:val="0"/>
                <w:szCs w:val="21"/>
              </w:rPr>
            </w:pPr>
            <w:r>
              <w:rPr>
                <w:rFonts w:hint="eastAsia" w:ascii="楷体_GB2312" w:eastAsia="楷体_GB2312"/>
                <w:color w:val="000000"/>
                <w:kern w:val="0"/>
                <w:szCs w:val="21"/>
              </w:rPr>
              <w:t>10</w:t>
            </w:r>
          </w:p>
        </w:tc>
        <w:tc>
          <w:tcPr>
            <w:tcW w:w="4038" w:type="dxa"/>
            <w:tcBorders>
              <w:top w:val="single" w:color="auto" w:sz="4" w:space="0"/>
            </w:tcBorders>
            <w:noWrap/>
            <w:vAlign w:val="center"/>
          </w:tcPr>
          <w:p>
            <w:pPr>
              <w:spacing w:line="320" w:lineRule="exact"/>
              <w:jc w:val="left"/>
              <w:textAlignment w:val="center"/>
              <w:rPr>
                <w:rFonts w:ascii="楷体_GB2312" w:eastAsia="楷体_GB2312"/>
                <w:szCs w:val="21"/>
              </w:rPr>
            </w:pPr>
            <w:r>
              <w:rPr>
                <w:rFonts w:hint="eastAsia" w:ascii="楷体_GB2312" w:eastAsia="楷体_GB2312"/>
                <w:szCs w:val="21"/>
              </w:rPr>
              <w:t>对部门（单位）20</w:t>
            </w:r>
            <w:r>
              <w:rPr>
                <w:rFonts w:hint="eastAsia" w:ascii="楷体_GB2312" w:eastAsia="楷体_GB2312"/>
                <w:szCs w:val="21"/>
                <w:lang w:val="en-US" w:eastAsia="zh-CN"/>
              </w:rPr>
              <w:t>20</w:t>
            </w:r>
            <w:r>
              <w:rPr>
                <w:rFonts w:hint="eastAsia" w:ascii="楷体_GB2312" w:eastAsia="楷体_GB2312"/>
                <w:szCs w:val="21"/>
              </w:rPr>
              <w:t>年度落实全面从严治党主体责任情况进行</w:t>
            </w:r>
            <w:r>
              <w:rPr>
                <w:rFonts w:hint="eastAsia" w:ascii="楷体_GB2312" w:eastAsia="楷体_GB2312"/>
                <w:szCs w:val="21"/>
                <w:lang w:val="en-US" w:eastAsia="zh-CN"/>
              </w:rPr>
              <w:t>满意度测评</w:t>
            </w:r>
            <w:r>
              <w:rPr>
                <w:rFonts w:hint="eastAsia" w:ascii="楷体_GB2312" w:eastAsia="楷体_GB2312"/>
                <w:szCs w:val="21"/>
              </w:rPr>
              <w:t>。</w:t>
            </w:r>
          </w:p>
        </w:tc>
        <w:tc>
          <w:tcPr>
            <w:tcW w:w="3969" w:type="dxa"/>
            <w:tcBorders>
              <w:top w:val="single" w:color="auto" w:sz="4" w:space="0"/>
            </w:tcBorders>
            <w:noWrap/>
            <w:vAlign w:val="center"/>
          </w:tcPr>
          <w:p>
            <w:pPr>
              <w:widowControl/>
              <w:jc w:val="left"/>
              <w:rPr>
                <w:rFonts w:hint="default"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根据满意度测评平均分折算分数。</w:t>
            </w:r>
          </w:p>
        </w:tc>
        <w:tc>
          <w:tcPr>
            <w:tcW w:w="3318" w:type="dxa"/>
            <w:tcBorders>
              <w:top w:val="single" w:color="auto" w:sz="4" w:space="0"/>
              <w:bottom w:val="single" w:color="auto" w:sz="4" w:space="0"/>
            </w:tcBorders>
            <w:noWrap/>
            <w:vAlign w:val="center"/>
          </w:tcPr>
          <w:p>
            <w:pPr>
              <w:widowControl/>
              <w:jc w:val="left"/>
              <w:rPr>
                <w:rFonts w:hint="eastAsia" w:ascii="楷体_GB2312" w:hAnsi="宋体" w:eastAsia="楷体_GB2312" w:cs="楷体_GB2312"/>
                <w:color w:val="000000"/>
                <w:szCs w:val="21"/>
                <w:lang w:eastAsia="zh-CN"/>
              </w:rPr>
            </w:pPr>
            <w:r>
              <w:rPr>
                <w:rFonts w:hint="eastAsia" w:ascii="楷体_GB2312" w:hAnsi="宋体" w:eastAsia="楷体_GB2312" w:cs="楷体_GB2312"/>
                <w:color w:val="000000"/>
                <w:szCs w:val="21"/>
              </w:rPr>
              <w:t>现场测评</w:t>
            </w:r>
            <w:r>
              <w:rPr>
                <w:rFonts w:hint="eastAsia" w:ascii="楷体_GB2312" w:hAnsi="宋体" w:eastAsia="楷体_GB2312" w:cs="楷体_GB2312"/>
                <w:color w:val="000000"/>
                <w:szCs w:val="21"/>
                <w:lang w:eastAsia="zh-CN"/>
              </w:rPr>
              <w:t>。</w:t>
            </w:r>
          </w:p>
        </w:tc>
        <w:tc>
          <w:tcPr>
            <w:tcW w:w="1131" w:type="dxa"/>
            <w:vMerge w:val="continue"/>
            <w:noWrap/>
            <w:vAlign w:val="center"/>
          </w:tcPr>
          <w:p>
            <w:pPr>
              <w:jc w:val="center"/>
              <w:rPr>
                <w:rFonts w:ascii="楷体_GB2312" w:hAnsi="宋体" w:eastAsia="楷体_GB2312" w:cs="楷体_GB2312"/>
                <w:szCs w:val="21"/>
              </w:rPr>
            </w:pPr>
          </w:p>
        </w:tc>
      </w:tr>
    </w:tbl>
    <w:tbl>
      <w:tblPr>
        <w:tblStyle w:val="4"/>
        <w:tblpPr w:leftFromText="180" w:rightFromText="180" w:vertAnchor="page" w:horzAnchor="margin" w:tblpXSpec="center" w:tblpY="1709"/>
        <w:tblW w:w="14704" w:type="dxa"/>
        <w:tblInd w:w="-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30"/>
        <w:gridCol w:w="705"/>
        <w:gridCol w:w="825"/>
        <w:gridCol w:w="4035"/>
        <w:gridCol w:w="3954"/>
        <w:gridCol w:w="3285"/>
        <w:gridCol w:w="11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92" w:hRule="atLeast"/>
        </w:trPr>
        <w:tc>
          <w:tcPr>
            <w:tcW w:w="730" w:type="dxa"/>
            <w:vMerge w:val="restart"/>
            <w:vAlign w:val="center"/>
          </w:tcPr>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both"/>
              <w:rPr>
                <w:rFonts w:ascii="楷体_GB2312" w:hAnsi="宋体" w:eastAsia="楷体_GB2312" w:cs="楷体_GB2312"/>
                <w:color w:val="000000" w:themeColor="text1"/>
                <w:szCs w:val="21"/>
              </w:rPr>
            </w:pPr>
          </w:p>
          <w:p>
            <w:pPr>
              <w:jc w:val="both"/>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抓基层党建</w:t>
            </w:r>
            <w:r>
              <w:rPr>
                <w:rFonts w:hint="eastAsia" w:ascii="楷体_GB2312" w:hAnsi="宋体" w:eastAsia="楷体_GB2312" w:cs="楷体_GB2312"/>
                <w:color w:val="000000" w:themeColor="text1"/>
                <w:szCs w:val="21"/>
                <w:lang w:eastAsia="zh-CN"/>
              </w:rPr>
              <w:t>工作</w:t>
            </w:r>
            <w:r>
              <w:rPr>
                <w:rFonts w:hint="eastAsia" w:ascii="楷体_GB2312" w:hAnsi="宋体" w:eastAsia="楷体_GB2312" w:cs="楷体_GB2312"/>
                <w:color w:val="000000" w:themeColor="text1"/>
                <w:szCs w:val="21"/>
              </w:rPr>
              <w:t>述职评议考核</w:t>
            </w: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both"/>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抓基层党建</w:t>
            </w:r>
            <w:r>
              <w:rPr>
                <w:rFonts w:hint="eastAsia" w:ascii="楷体_GB2312" w:hAnsi="宋体" w:eastAsia="楷体_GB2312" w:cs="楷体_GB2312"/>
                <w:color w:val="000000" w:themeColor="text1"/>
                <w:szCs w:val="21"/>
                <w:lang w:eastAsia="zh-CN"/>
              </w:rPr>
              <w:t>工作</w:t>
            </w:r>
            <w:r>
              <w:rPr>
                <w:rFonts w:hint="eastAsia" w:ascii="楷体_GB2312" w:hAnsi="宋体" w:eastAsia="楷体_GB2312" w:cs="楷体_GB2312"/>
                <w:color w:val="000000" w:themeColor="text1"/>
                <w:szCs w:val="21"/>
              </w:rPr>
              <w:t>述职评议考核</w:t>
            </w: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both"/>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抓基层党建</w:t>
            </w:r>
            <w:r>
              <w:rPr>
                <w:rFonts w:hint="eastAsia" w:ascii="楷体_GB2312" w:hAnsi="宋体" w:eastAsia="楷体_GB2312" w:cs="楷体_GB2312"/>
                <w:color w:val="000000" w:themeColor="text1"/>
                <w:szCs w:val="21"/>
                <w:lang w:eastAsia="zh-CN"/>
              </w:rPr>
              <w:t>工作</w:t>
            </w:r>
            <w:r>
              <w:rPr>
                <w:rFonts w:hint="eastAsia" w:ascii="楷体_GB2312" w:hAnsi="宋体" w:eastAsia="楷体_GB2312" w:cs="楷体_GB2312"/>
                <w:color w:val="000000" w:themeColor="text1"/>
                <w:szCs w:val="21"/>
              </w:rPr>
              <w:t>述职评议考核</w:t>
            </w: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hint="eastAsia"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p>
          <w:p>
            <w:pPr>
              <w:jc w:val="both"/>
              <w:rPr>
                <w:rFonts w:ascii="楷体_GB2312" w:hAnsi="宋体" w:eastAsia="楷体_GB2312" w:cs="楷体_GB2312"/>
                <w:color w:val="000000" w:themeColor="text1"/>
                <w:szCs w:val="21"/>
              </w:rPr>
            </w:pPr>
          </w:p>
          <w:p>
            <w:pPr>
              <w:jc w:val="both"/>
              <w:rPr>
                <w:rFonts w:ascii="楷体_GB2312" w:hAnsi="宋体" w:eastAsia="楷体_GB2312" w:cs="楷体_GB2312"/>
                <w:color w:val="000000" w:themeColor="text1"/>
                <w:szCs w:val="21"/>
              </w:rPr>
            </w:pPr>
          </w:p>
          <w:p>
            <w:pPr>
              <w:jc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抓基层党建</w:t>
            </w:r>
            <w:r>
              <w:rPr>
                <w:rFonts w:hint="eastAsia" w:ascii="楷体_GB2312" w:hAnsi="宋体" w:eastAsia="楷体_GB2312" w:cs="楷体_GB2312"/>
                <w:color w:val="000000" w:themeColor="text1"/>
                <w:szCs w:val="21"/>
                <w:lang w:eastAsia="zh-CN"/>
              </w:rPr>
              <w:t>工作</w:t>
            </w:r>
            <w:r>
              <w:rPr>
                <w:rFonts w:hint="eastAsia" w:ascii="楷体_GB2312" w:hAnsi="宋体" w:eastAsia="楷体_GB2312" w:cs="楷体_GB2312"/>
                <w:color w:val="000000" w:themeColor="text1"/>
                <w:szCs w:val="21"/>
              </w:rPr>
              <w:t>述职评议考核</w:t>
            </w:r>
          </w:p>
        </w:tc>
        <w:tc>
          <w:tcPr>
            <w:tcW w:w="705" w:type="dxa"/>
            <w:vMerge w:val="restart"/>
            <w:vAlign w:val="center"/>
          </w:tcPr>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述职评议考核的调研重点</w:t>
            </w: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tc>
        <w:tc>
          <w:tcPr>
            <w:tcW w:w="825" w:type="dxa"/>
            <w:vMerge w:val="restart"/>
            <w:vAlign w:val="center"/>
          </w:tcPr>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5</w:t>
            </w: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tc>
        <w:tc>
          <w:tcPr>
            <w:tcW w:w="4035" w:type="dxa"/>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kern w:val="0"/>
                <w:szCs w:val="21"/>
                <w:highlight w:val="none"/>
              </w:rPr>
            </w:pPr>
            <w:r>
              <w:rPr>
                <w:rFonts w:hint="eastAsia" w:ascii="楷体_GB2312" w:hAnsi="宋体" w:eastAsia="楷体_GB2312" w:cs="楷体_GB2312"/>
                <w:color w:val="000000" w:themeColor="text1"/>
                <w:kern w:val="0"/>
                <w:szCs w:val="21"/>
                <w:highlight w:val="none"/>
              </w:rPr>
              <w:t>1.</w:t>
            </w:r>
            <w:r>
              <w:rPr>
                <w:rFonts w:hint="eastAsia" w:ascii="楷体_GB2312" w:hAnsi="宋体" w:eastAsia="楷体_GB2312" w:cs="楷体_GB2312"/>
                <w:color w:val="000000" w:themeColor="text1"/>
                <w:kern w:val="0"/>
                <w:szCs w:val="21"/>
                <w:highlight w:val="none"/>
                <w:lang w:eastAsia="zh-CN"/>
              </w:rPr>
              <w:t>建立</w:t>
            </w:r>
            <w:r>
              <w:rPr>
                <w:rFonts w:hint="eastAsia" w:ascii="楷体_GB2312" w:hAnsi="宋体" w:eastAsia="楷体_GB2312" w:cs="楷体_GB2312"/>
                <w:color w:val="000000" w:themeColor="text1"/>
                <w:kern w:val="0"/>
                <w:szCs w:val="21"/>
                <w:highlight w:val="none"/>
              </w:rPr>
              <w:t>“不忘初心、牢记使命”主题教育</w:t>
            </w:r>
            <w:r>
              <w:rPr>
                <w:rFonts w:hint="eastAsia" w:ascii="楷体_GB2312" w:hAnsi="宋体" w:eastAsia="楷体_GB2312" w:cs="楷体_GB2312"/>
                <w:color w:val="000000" w:themeColor="text1"/>
                <w:kern w:val="0"/>
                <w:szCs w:val="21"/>
                <w:highlight w:val="none"/>
                <w:lang w:eastAsia="zh-CN"/>
              </w:rPr>
              <w:t>长效机制</w:t>
            </w:r>
            <w:r>
              <w:rPr>
                <w:rFonts w:hint="eastAsia" w:ascii="楷体_GB2312" w:hAnsi="宋体" w:eastAsia="楷体_GB2312" w:cs="楷体_GB2312"/>
                <w:color w:val="000000" w:themeColor="text1"/>
                <w:kern w:val="0"/>
                <w:szCs w:val="21"/>
                <w:highlight w:val="none"/>
              </w:rPr>
              <w:t>，推动基层党组织和广大党员深入学习贯彻习近平新时代中国特色社会主义思想，增强“四个意识”、坚定“四个自信”、落实“两个维护”情况</w:t>
            </w:r>
            <w:r>
              <w:rPr>
                <w:rFonts w:hint="eastAsia" w:ascii="楷体_GB2312" w:hAnsi="宋体" w:eastAsia="楷体_GB2312" w:cs="楷体_GB2312"/>
                <w:color w:val="000000" w:themeColor="text1"/>
                <w:szCs w:val="21"/>
                <w:highlight w:val="none"/>
              </w:rPr>
              <w:t>（ 1分）</w:t>
            </w:r>
            <w:r>
              <w:rPr>
                <w:rFonts w:hint="eastAsia" w:ascii="楷体_GB2312" w:hAnsi="宋体" w:eastAsia="楷体_GB2312" w:cs="楷体_GB2312"/>
                <w:color w:val="000000" w:themeColor="text1"/>
                <w:kern w:val="0"/>
                <w:szCs w:val="21"/>
                <w:highlight w:val="none"/>
              </w:rPr>
              <w:t>。</w:t>
            </w:r>
          </w:p>
        </w:tc>
        <w:tc>
          <w:tcPr>
            <w:tcW w:w="3954" w:type="dxa"/>
            <w:vMerge w:val="restart"/>
            <w:vAlign w:val="center"/>
          </w:tcPr>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根据抓基层党建述职及日常工作情况酌情扣分。</w:t>
            </w: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tc>
        <w:tc>
          <w:tcPr>
            <w:tcW w:w="3285" w:type="dxa"/>
            <w:vMerge w:val="restart"/>
            <w:tcMar>
              <w:top w:w="15" w:type="dxa"/>
              <w:left w:w="15" w:type="dxa"/>
              <w:bottom w:w="15" w:type="dxa"/>
              <w:right w:w="15" w:type="dxa"/>
            </w:tcMar>
            <w:vAlign w:val="center"/>
          </w:tcPr>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抓基层党建述职报告及日常工作材料。</w:t>
            </w:r>
          </w:p>
          <w:p>
            <w:pPr>
              <w:widowControl/>
              <w:tabs>
                <w:tab w:val="left" w:pos="847"/>
              </w:tabs>
              <w:jc w:val="left"/>
              <w:rPr>
                <w:rFonts w:hint="eastAsia" w:ascii="楷体_GB2312" w:hAnsi="宋体" w:eastAsia="楷体_GB2312" w:cs="楷体_GB2312"/>
                <w:color w:val="000000"/>
                <w:szCs w:val="21"/>
                <w:lang w:val="en-US" w:eastAsia="zh-CN"/>
              </w:rPr>
            </w:pPr>
            <w:r>
              <w:rPr>
                <w:rFonts w:hint="eastAsia" w:ascii="楷体_GB2312" w:hAnsi="宋体" w:eastAsia="楷体_GB2312" w:cs="楷体_GB2312"/>
                <w:color w:val="000000"/>
                <w:szCs w:val="21"/>
                <w:lang w:val="en-US" w:eastAsia="zh-CN"/>
              </w:rPr>
              <w:tab/>
            </w:r>
          </w:p>
          <w:p>
            <w:pPr>
              <w:widowControl/>
              <w:tabs>
                <w:tab w:val="left" w:pos="847"/>
              </w:tabs>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p>
            <w:pPr>
              <w:widowControl/>
              <w:jc w:val="left"/>
              <w:rPr>
                <w:rFonts w:hint="eastAsia" w:ascii="楷体_GB2312" w:hAnsi="宋体" w:eastAsia="楷体_GB2312" w:cs="楷体_GB2312"/>
                <w:color w:val="000000"/>
                <w:szCs w:val="21"/>
                <w:lang w:val="en-US" w:eastAsia="zh-CN"/>
              </w:rPr>
            </w:pPr>
          </w:p>
        </w:tc>
        <w:tc>
          <w:tcPr>
            <w:tcW w:w="1170" w:type="dxa"/>
            <w:vMerge w:val="restart"/>
            <w:tcMar>
              <w:top w:w="15" w:type="dxa"/>
              <w:left w:w="15" w:type="dxa"/>
              <w:bottom w:w="15" w:type="dxa"/>
              <w:right w:w="15" w:type="dxa"/>
            </w:tcMar>
            <w:vAlign w:val="center"/>
          </w:tcPr>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lang w:val="en-US" w:eastAsia="zh-CN"/>
              </w:rPr>
            </w:pPr>
          </w:p>
          <w:p>
            <w:pPr>
              <w:spacing w:line="28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lang w:val="en-US" w:eastAsia="zh-CN"/>
              </w:rPr>
              <w:t>机关</w:t>
            </w:r>
            <w:r>
              <w:rPr>
                <w:rFonts w:hint="eastAsia" w:ascii="楷体_GB2312" w:hAnsi="宋体" w:eastAsia="楷体_GB2312" w:cs="楷体_GB2312"/>
                <w:color w:val="000000" w:themeColor="text1"/>
                <w:szCs w:val="21"/>
              </w:rPr>
              <w:t>各直属党组织</w:t>
            </w: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center"/>
              <w:textAlignment w:val="center"/>
              <w:rPr>
                <w:rFonts w:hint="eastAsia" w:ascii="楷体_GB2312" w:hAnsi="宋体" w:eastAsia="楷体_GB2312" w:cs="楷体_GB2312"/>
                <w:color w:val="000000" w:themeColor="text1"/>
                <w:szCs w:val="21"/>
              </w:rPr>
            </w:pPr>
          </w:p>
          <w:p>
            <w:pPr>
              <w:spacing w:line="280" w:lineRule="exact"/>
              <w:jc w:val="both"/>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0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c>
          <w:tcPr>
            <w:tcW w:w="4035" w:type="dxa"/>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kern w:val="0"/>
                <w:szCs w:val="21"/>
                <w:highlight w:val="none"/>
              </w:rPr>
            </w:pPr>
            <w:r>
              <w:rPr>
                <w:rFonts w:hint="eastAsia" w:ascii="楷体_GB2312" w:hAnsi="宋体" w:eastAsia="楷体_GB2312" w:cs="楷体_GB2312"/>
                <w:color w:val="000000" w:themeColor="text1"/>
                <w:kern w:val="0"/>
                <w:szCs w:val="21"/>
                <w:highlight w:val="none"/>
              </w:rPr>
              <w:t>2.贯彻执行党支部工作条例、党务公开条例、党员教育管理工作条例等党内法规，加强党的组织体系建设，推动全面从严治党向基层延伸，深化党支部标准化规范化建设，全面提升党支部组织力、强化党支部政治功能情况</w:t>
            </w:r>
            <w:r>
              <w:rPr>
                <w:rFonts w:hint="eastAsia" w:ascii="楷体_GB2312" w:hAnsi="宋体" w:eastAsia="楷体_GB2312" w:cs="楷体_GB2312"/>
                <w:color w:val="000000" w:themeColor="text1"/>
                <w:szCs w:val="21"/>
                <w:highlight w:val="none"/>
              </w:rPr>
              <w:t>（ 1分）</w:t>
            </w:r>
            <w:r>
              <w:rPr>
                <w:rFonts w:hint="eastAsia" w:ascii="楷体_GB2312" w:hAnsi="宋体" w:eastAsia="楷体_GB2312" w:cs="楷体_GB2312"/>
                <w:color w:val="000000" w:themeColor="text1"/>
                <w:kern w:val="0"/>
                <w:szCs w:val="21"/>
                <w:highlight w:val="none"/>
              </w:rPr>
              <w:t>。</w:t>
            </w:r>
          </w:p>
        </w:tc>
        <w:tc>
          <w:tcPr>
            <w:tcW w:w="3954" w:type="dxa"/>
            <w:vMerge w:val="continue"/>
            <w:vAlign w:val="center"/>
          </w:tcPr>
          <w:p>
            <w:pPr>
              <w:spacing w:line="320" w:lineRule="exact"/>
              <w:textAlignment w:val="center"/>
              <w:rPr>
                <w:rFonts w:ascii="楷体_GB2312" w:hAnsi="宋体" w:eastAsia="楷体_GB2312" w:cs="楷体_GB2312"/>
                <w:color w:val="000000" w:themeColor="text1"/>
                <w:szCs w:val="21"/>
              </w:rPr>
            </w:pPr>
          </w:p>
        </w:tc>
        <w:tc>
          <w:tcPr>
            <w:tcW w:w="3285" w:type="dxa"/>
            <w:vMerge w:val="continue"/>
            <w:tcMar>
              <w:top w:w="15" w:type="dxa"/>
              <w:left w:w="15" w:type="dxa"/>
              <w:bottom w:w="15" w:type="dxa"/>
              <w:right w:w="15" w:type="dxa"/>
            </w:tcMar>
            <w:vAlign w:val="center"/>
          </w:tcPr>
          <w:p>
            <w:pPr>
              <w:spacing w:line="320" w:lineRule="exact"/>
              <w:ind w:left="164" w:leftChars="78" w:right="164" w:rightChars="78"/>
              <w:textAlignment w:val="center"/>
              <w:rPr>
                <w:rFonts w:ascii="楷体_GB2312" w:hAnsi="宋体" w:eastAsia="楷体_GB2312" w:cs="楷体_GB2312"/>
                <w:color w:val="000000" w:themeColor="text1"/>
                <w:szCs w:val="21"/>
              </w:rPr>
            </w:pPr>
          </w:p>
        </w:tc>
        <w:tc>
          <w:tcPr>
            <w:tcW w:w="1170" w:type="dxa"/>
            <w:vMerge w:val="continue"/>
            <w:tcMar>
              <w:top w:w="15" w:type="dxa"/>
              <w:left w:w="15" w:type="dxa"/>
              <w:bottom w:w="15" w:type="dxa"/>
              <w:right w:w="15" w:type="dxa"/>
            </w:tcMar>
            <w:vAlign w:val="center"/>
          </w:tcPr>
          <w:p>
            <w:pPr>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0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c>
          <w:tcPr>
            <w:tcW w:w="4035" w:type="dxa"/>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kern w:val="0"/>
                <w:szCs w:val="21"/>
                <w:highlight w:val="none"/>
              </w:rPr>
            </w:pPr>
            <w:r>
              <w:rPr>
                <w:rFonts w:hint="eastAsia" w:ascii="楷体_GB2312" w:hAnsi="宋体" w:eastAsia="楷体_GB2312" w:cs="楷体_GB2312"/>
                <w:color w:val="000000" w:themeColor="text1"/>
                <w:kern w:val="0"/>
                <w:szCs w:val="21"/>
                <w:highlight w:val="none"/>
              </w:rPr>
              <w:t>3.落实基层党建重点任务，集中整顿软弱涣散基层党组织，推进党建引领基层治理体制机制创新，提升“两个覆盖”质量，加强和改进党员教育管理，强化基层基础保障，充分发挥基层党组织战斗堡垒和党员先锋模范作用等情况</w:t>
            </w:r>
            <w:r>
              <w:rPr>
                <w:rFonts w:hint="eastAsia" w:ascii="楷体_GB2312" w:hAnsi="宋体" w:eastAsia="楷体_GB2312" w:cs="楷体_GB2312"/>
                <w:color w:val="000000" w:themeColor="text1"/>
                <w:szCs w:val="21"/>
                <w:highlight w:val="none"/>
              </w:rPr>
              <w:t>（ 1分）</w:t>
            </w:r>
            <w:r>
              <w:rPr>
                <w:rFonts w:hint="eastAsia" w:ascii="楷体_GB2312" w:hAnsi="宋体" w:eastAsia="楷体_GB2312" w:cs="楷体_GB2312"/>
                <w:color w:val="000000" w:themeColor="text1"/>
                <w:kern w:val="0"/>
                <w:szCs w:val="21"/>
                <w:highlight w:val="none"/>
              </w:rPr>
              <w:t>。</w:t>
            </w:r>
          </w:p>
        </w:tc>
        <w:tc>
          <w:tcPr>
            <w:tcW w:w="3954" w:type="dxa"/>
            <w:vMerge w:val="continue"/>
            <w:vAlign w:val="center"/>
          </w:tcPr>
          <w:p>
            <w:pPr>
              <w:spacing w:line="320" w:lineRule="exact"/>
              <w:textAlignment w:val="center"/>
              <w:rPr>
                <w:rFonts w:ascii="楷体_GB2312" w:hAnsi="宋体" w:eastAsia="楷体_GB2312" w:cs="楷体_GB2312"/>
                <w:color w:val="000000" w:themeColor="text1"/>
                <w:szCs w:val="21"/>
              </w:rPr>
            </w:pPr>
          </w:p>
        </w:tc>
        <w:tc>
          <w:tcPr>
            <w:tcW w:w="3285" w:type="dxa"/>
            <w:vMerge w:val="continue"/>
            <w:tcMar>
              <w:top w:w="15" w:type="dxa"/>
              <w:left w:w="15" w:type="dxa"/>
              <w:bottom w:w="15" w:type="dxa"/>
              <w:right w:w="15" w:type="dxa"/>
            </w:tcMar>
            <w:vAlign w:val="center"/>
          </w:tcPr>
          <w:p>
            <w:pPr>
              <w:spacing w:line="320" w:lineRule="exact"/>
              <w:ind w:left="164" w:leftChars="78" w:right="164" w:rightChars="78"/>
              <w:textAlignment w:val="center"/>
              <w:rPr>
                <w:rFonts w:ascii="楷体_GB2312" w:hAnsi="宋体" w:eastAsia="楷体_GB2312" w:cs="楷体_GB2312"/>
                <w:color w:val="000000" w:themeColor="text1"/>
                <w:szCs w:val="21"/>
              </w:rPr>
            </w:pPr>
          </w:p>
        </w:tc>
        <w:tc>
          <w:tcPr>
            <w:tcW w:w="1170" w:type="dxa"/>
            <w:vMerge w:val="continue"/>
            <w:tcMar>
              <w:top w:w="15" w:type="dxa"/>
              <w:left w:w="15" w:type="dxa"/>
              <w:bottom w:w="15" w:type="dxa"/>
              <w:right w:w="15" w:type="dxa"/>
            </w:tcMar>
            <w:vAlign w:val="center"/>
          </w:tcPr>
          <w:p>
            <w:pPr>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76"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c>
          <w:tcPr>
            <w:tcW w:w="4035" w:type="dxa"/>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kern w:val="0"/>
                <w:szCs w:val="21"/>
                <w:highlight w:val="none"/>
              </w:rPr>
            </w:pPr>
            <w:r>
              <w:rPr>
                <w:rFonts w:hint="eastAsia" w:ascii="楷体_GB2312" w:hAnsi="宋体" w:eastAsia="楷体_GB2312" w:cs="楷体_GB2312"/>
                <w:color w:val="000000" w:themeColor="text1"/>
                <w:kern w:val="0"/>
                <w:szCs w:val="21"/>
                <w:highlight w:val="none"/>
              </w:rPr>
              <w:t>4.突出履行基层党建工作责任，特别是履行党组织主体责任、党组织书记第一责任人职责情况</w:t>
            </w:r>
            <w:r>
              <w:rPr>
                <w:rFonts w:hint="eastAsia" w:ascii="楷体_GB2312" w:hAnsi="宋体" w:eastAsia="楷体_GB2312" w:cs="楷体_GB2312"/>
                <w:color w:val="000000" w:themeColor="text1"/>
                <w:szCs w:val="21"/>
                <w:highlight w:val="none"/>
              </w:rPr>
              <w:t>（ 1分）</w:t>
            </w:r>
            <w:r>
              <w:rPr>
                <w:rFonts w:hint="eastAsia" w:ascii="楷体_GB2312" w:hAnsi="宋体" w:eastAsia="楷体_GB2312" w:cs="楷体_GB2312"/>
                <w:color w:val="000000" w:themeColor="text1"/>
                <w:kern w:val="0"/>
                <w:szCs w:val="21"/>
                <w:highlight w:val="none"/>
              </w:rPr>
              <w:t>。</w:t>
            </w:r>
          </w:p>
        </w:tc>
        <w:tc>
          <w:tcPr>
            <w:tcW w:w="3954" w:type="dxa"/>
            <w:vMerge w:val="continue"/>
            <w:vAlign w:val="center"/>
          </w:tcPr>
          <w:p>
            <w:pPr>
              <w:spacing w:line="320" w:lineRule="exact"/>
              <w:textAlignment w:val="center"/>
              <w:rPr>
                <w:rFonts w:ascii="楷体_GB2312" w:hAnsi="宋体" w:eastAsia="楷体_GB2312" w:cs="楷体_GB2312"/>
                <w:color w:val="000000" w:themeColor="text1"/>
                <w:szCs w:val="21"/>
              </w:rPr>
            </w:pPr>
          </w:p>
        </w:tc>
        <w:tc>
          <w:tcPr>
            <w:tcW w:w="3285" w:type="dxa"/>
            <w:vMerge w:val="continue"/>
            <w:tcMar>
              <w:top w:w="15" w:type="dxa"/>
              <w:left w:w="15" w:type="dxa"/>
              <w:bottom w:w="15" w:type="dxa"/>
              <w:right w:w="15" w:type="dxa"/>
            </w:tcMar>
            <w:vAlign w:val="center"/>
          </w:tcPr>
          <w:p>
            <w:pPr>
              <w:spacing w:line="320" w:lineRule="exact"/>
              <w:ind w:left="164" w:leftChars="78" w:right="164" w:rightChars="78"/>
              <w:textAlignment w:val="center"/>
              <w:rPr>
                <w:rFonts w:ascii="楷体_GB2312" w:hAnsi="宋体" w:eastAsia="楷体_GB2312" w:cs="楷体_GB2312"/>
                <w:color w:val="000000" w:themeColor="text1"/>
                <w:szCs w:val="21"/>
              </w:rPr>
            </w:pPr>
          </w:p>
        </w:tc>
        <w:tc>
          <w:tcPr>
            <w:tcW w:w="1170" w:type="dxa"/>
            <w:vMerge w:val="continue"/>
            <w:tcMar>
              <w:top w:w="15" w:type="dxa"/>
              <w:left w:w="15" w:type="dxa"/>
              <w:bottom w:w="15" w:type="dxa"/>
              <w:right w:w="15" w:type="dxa"/>
            </w:tcMar>
            <w:vAlign w:val="center"/>
          </w:tcPr>
          <w:p>
            <w:pPr>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28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280" w:lineRule="exact"/>
              <w:jc w:val="center"/>
              <w:textAlignment w:val="center"/>
              <w:rPr>
                <w:rFonts w:ascii="楷体_GB2312" w:hAnsi="宋体" w:eastAsia="楷体_GB2312" w:cs="楷体_GB2312"/>
                <w:color w:val="000000" w:themeColor="text1"/>
                <w:szCs w:val="21"/>
              </w:rPr>
            </w:pPr>
          </w:p>
        </w:tc>
        <w:tc>
          <w:tcPr>
            <w:tcW w:w="4035" w:type="dxa"/>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kern w:val="0"/>
                <w:szCs w:val="21"/>
                <w:highlight w:val="none"/>
              </w:rPr>
            </w:pPr>
            <w:r>
              <w:rPr>
                <w:rFonts w:hint="eastAsia" w:ascii="楷体_GB2312" w:hAnsi="宋体" w:eastAsia="楷体_GB2312" w:cs="楷体_GB2312"/>
                <w:color w:val="000000" w:themeColor="text1"/>
                <w:kern w:val="0"/>
                <w:szCs w:val="21"/>
                <w:highlight w:val="none"/>
              </w:rPr>
              <w:t>5.突出查找和解决问题，回应上年度</w:t>
            </w:r>
            <w:r>
              <w:rPr>
                <w:rFonts w:hint="eastAsia" w:ascii="楷体_GB2312" w:hAnsi="宋体" w:eastAsia="楷体_GB2312" w:cs="楷体_GB2312"/>
                <w:color w:val="000000" w:themeColor="text1"/>
                <w:kern w:val="0"/>
                <w:szCs w:val="21"/>
                <w:highlight w:val="none"/>
                <w:lang w:val="en-US" w:eastAsia="zh-CN"/>
              </w:rPr>
              <w:t>抓基层党建述职评议</w:t>
            </w:r>
            <w:r>
              <w:rPr>
                <w:rFonts w:hint="eastAsia" w:ascii="楷体_GB2312" w:hAnsi="宋体" w:eastAsia="楷体_GB2312" w:cs="楷体_GB2312"/>
                <w:color w:val="000000" w:themeColor="text1"/>
                <w:kern w:val="0"/>
                <w:szCs w:val="21"/>
                <w:highlight w:val="none"/>
              </w:rPr>
              <w:t>查摆的问题整改情况，深入剖析存在的突出问题，特别是工作中存在的形式主义、官僚主义问题，切实为基层减负，提出进一步加强和改进工作的思路措施</w:t>
            </w:r>
            <w:r>
              <w:rPr>
                <w:rFonts w:hint="eastAsia" w:ascii="楷体_GB2312" w:hAnsi="宋体" w:eastAsia="楷体_GB2312" w:cs="楷体_GB2312"/>
                <w:color w:val="000000" w:themeColor="text1"/>
                <w:szCs w:val="21"/>
                <w:highlight w:val="none"/>
              </w:rPr>
              <w:t>（ 1分）</w:t>
            </w:r>
            <w:r>
              <w:rPr>
                <w:rFonts w:hint="eastAsia" w:ascii="楷体_GB2312" w:hAnsi="宋体" w:eastAsia="楷体_GB2312" w:cs="楷体_GB2312"/>
                <w:color w:val="000000" w:themeColor="text1"/>
                <w:kern w:val="0"/>
                <w:szCs w:val="21"/>
                <w:highlight w:val="none"/>
              </w:rPr>
              <w:t>。</w:t>
            </w:r>
          </w:p>
        </w:tc>
        <w:tc>
          <w:tcPr>
            <w:tcW w:w="3954" w:type="dxa"/>
            <w:vMerge w:val="continue"/>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szCs w:val="21"/>
              </w:rPr>
            </w:pPr>
          </w:p>
        </w:tc>
        <w:tc>
          <w:tcPr>
            <w:tcW w:w="3285" w:type="dxa"/>
            <w:vMerge w:val="continue"/>
            <w:tcBorders>
              <w:bottom w:val="single" w:color="auto" w:sz="4" w:space="0"/>
            </w:tcBorders>
            <w:tcMar>
              <w:top w:w="15" w:type="dxa"/>
              <w:left w:w="15" w:type="dxa"/>
              <w:bottom w:w="15" w:type="dxa"/>
              <w:right w:w="15" w:type="dxa"/>
            </w:tcMar>
            <w:vAlign w:val="center"/>
          </w:tcPr>
          <w:p>
            <w:pPr>
              <w:spacing w:line="320" w:lineRule="exact"/>
              <w:ind w:left="164" w:leftChars="78" w:right="164" w:rightChars="78"/>
              <w:textAlignment w:val="center"/>
              <w:rPr>
                <w:rFonts w:ascii="楷体_GB2312" w:hAnsi="宋体" w:eastAsia="楷体_GB2312" w:cs="楷体_GB2312"/>
                <w:color w:val="000000" w:themeColor="text1"/>
                <w:szCs w:val="21"/>
              </w:rPr>
            </w:pPr>
          </w:p>
        </w:tc>
        <w:tc>
          <w:tcPr>
            <w:tcW w:w="1170" w:type="dxa"/>
            <w:vMerge w:val="continue"/>
            <w:tcBorders>
              <w:bottom w:val="single" w:color="auto" w:sz="4" w:space="0"/>
            </w:tcBorders>
            <w:tcMar>
              <w:top w:w="15" w:type="dxa"/>
              <w:left w:w="15" w:type="dxa"/>
              <w:bottom w:w="15" w:type="dxa"/>
              <w:right w:w="15" w:type="dxa"/>
            </w:tcMar>
            <w:vAlign w:val="center"/>
          </w:tcPr>
          <w:p>
            <w:pPr>
              <w:widowControl/>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0" w:hRule="atLeast"/>
        </w:trPr>
        <w:tc>
          <w:tcPr>
            <w:tcW w:w="730" w:type="dxa"/>
            <w:vMerge w:val="continue"/>
            <w:vAlign w:val="center"/>
          </w:tcPr>
          <w:p>
            <w:pPr>
              <w:jc w:val="center"/>
              <w:rPr>
                <w:rFonts w:ascii="楷体_GB2312" w:hAnsi="宋体" w:eastAsia="楷体_GB2312" w:cs="楷体_GB2312"/>
                <w:color w:val="000000" w:themeColor="text1"/>
                <w:kern w:val="0"/>
                <w:szCs w:val="21"/>
              </w:rPr>
            </w:pPr>
          </w:p>
        </w:tc>
        <w:tc>
          <w:tcPr>
            <w:tcW w:w="705" w:type="dxa"/>
            <w:vMerge w:val="restart"/>
            <w:tcBorders>
              <w:top w:val="single" w:color="auto" w:sz="4" w:space="0"/>
            </w:tcBorders>
            <w:vAlign w:val="center"/>
          </w:tcPr>
          <w:p>
            <w:pPr>
              <w:widowControl/>
              <w:spacing w:line="320" w:lineRule="exact"/>
              <w:jc w:val="center"/>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加强思想政治建设</w:t>
            </w:r>
          </w:p>
        </w:tc>
        <w:tc>
          <w:tcPr>
            <w:tcW w:w="825" w:type="dxa"/>
            <w:vMerge w:val="restart"/>
            <w:vAlign w:val="center"/>
          </w:tcPr>
          <w:p>
            <w:pPr>
              <w:widowControl/>
              <w:spacing w:line="320" w:lineRule="exact"/>
              <w:jc w:val="center"/>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lang w:val="en-US" w:eastAsia="zh-CN"/>
              </w:rPr>
              <w:t>5</w:t>
            </w:r>
          </w:p>
        </w:tc>
        <w:tc>
          <w:tcPr>
            <w:tcW w:w="4035" w:type="dxa"/>
            <w:tcBorders>
              <w:top w:val="single" w:color="auto" w:sz="4" w:space="0"/>
              <w:bottom w:val="single" w:color="auto" w:sz="4" w:space="0"/>
            </w:tcBorders>
            <w:vAlign w:val="center"/>
          </w:tcPr>
          <w:p>
            <w:pPr>
              <w:spacing w:line="320" w:lineRule="exact"/>
              <w:jc w:val="left"/>
              <w:textAlignment w:val="center"/>
              <w:rPr>
                <w:rFonts w:ascii="楷体_GB2312" w:eastAsia="楷体_GB2312"/>
                <w:color w:val="000000" w:themeColor="text1"/>
                <w:szCs w:val="21"/>
                <w:highlight w:val="none"/>
              </w:rPr>
            </w:pPr>
            <w:r>
              <w:rPr>
                <w:rFonts w:hint="eastAsia" w:ascii="楷体_GB2312" w:hAnsi="宋体" w:eastAsia="楷体_GB2312" w:cs="楷体_GB2312"/>
                <w:color w:val="000000" w:themeColor="text1"/>
                <w:szCs w:val="21"/>
                <w:highlight w:val="none"/>
              </w:rPr>
              <w:t>1.每月认真组织党员学习（</w:t>
            </w:r>
            <w:r>
              <w:rPr>
                <w:rFonts w:hint="eastAsia" w:ascii="楷体_GB2312" w:hAnsi="宋体" w:eastAsia="楷体_GB2312" w:cs="楷体_GB2312"/>
                <w:color w:val="000000" w:themeColor="text1"/>
                <w:szCs w:val="21"/>
                <w:highlight w:val="none"/>
                <w:lang w:val="en-US" w:eastAsia="zh-CN"/>
              </w:rPr>
              <w:t>3</w:t>
            </w:r>
            <w:r>
              <w:rPr>
                <w:rFonts w:hint="eastAsia" w:ascii="楷体_GB2312" w:hAnsi="宋体" w:eastAsia="楷体_GB2312" w:cs="楷体_GB2312"/>
                <w:color w:val="000000" w:themeColor="text1"/>
                <w:szCs w:val="21"/>
                <w:highlight w:val="none"/>
              </w:rPr>
              <w:t>分）</w:t>
            </w:r>
            <w:r>
              <w:rPr>
                <w:rFonts w:hint="eastAsia" w:ascii="楷体_GB2312" w:eastAsia="楷体_GB2312"/>
                <w:color w:val="000000" w:themeColor="text1"/>
                <w:szCs w:val="21"/>
                <w:highlight w:val="none"/>
              </w:rPr>
              <w:t>。</w:t>
            </w:r>
          </w:p>
        </w:tc>
        <w:tc>
          <w:tcPr>
            <w:tcW w:w="3954" w:type="dxa"/>
            <w:tcBorders>
              <w:top w:val="single" w:color="auto" w:sz="4" w:space="0"/>
              <w:bottom w:val="single" w:color="auto" w:sz="4" w:space="0"/>
            </w:tcBorders>
            <w:vAlign w:val="center"/>
          </w:tcPr>
          <w:p>
            <w:pPr>
              <w:spacing w:line="320" w:lineRule="exact"/>
              <w:textAlignment w:val="center"/>
              <w:rPr>
                <w:rFonts w:ascii="楷体_GB2312" w:hAnsi="宋体" w:eastAsia="楷体_GB2312" w:cs="楷体_GB2312"/>
                <w:color w:val="000000" w:themeColor="text1"/>
                <w:kern w:val="0"/>
                <w:szCs w:val="21"/>
              </w:rPr>
            </w:pPr>
            <w:r>
              <w:rPr>
                <w:rFonts w:hint="eastAsia" w:ascii="楷体_GB2312" w:hAnsi="宋体" w:eastAsia="楷体_GB2312" w:cs="楷体_GB2312"/>
                <w:color w:val="000000" w:themeColor="text1"/>
                <w:kern w:val="0"/>
                <w:szCs w:val="21"/>
              </w:rPr>
              <w:t>缺少一次学习的，扣0.2分，扣完为止。</w:t>
            </w:r>
          </w:p>
        </w:tc>
        <w:tc>
          <w:tcPr>
            <w:tcW w:w="3285" w:type="dxa"/>
            <w:tcBorders>
              <w:top w:val="single" w:color="auto" w:sz="4" w:space="0"/>
              <w:bottom w:val="single" w:color="auto" w:sz="4" w:space="0"/>
            </w:tcBorders>
            <w:tcMar>
              <w:top w:w="15" w:type="dxa"/>
              <w:left w:w="15" w:type="dxa"/>
              <w:bottom w:w="15" w:type="dxa"/>
              <w:right w:w="15" w:type="dxa"/>
            </w:tcMar>
            <w:vAlign w:val="center"/>
          </w:tcPr>
          <w:p>
            <w:pPr>
              <w:spacing w:line="320" w:lineRule="exact"/>
              <w:ind w:right="164" w:rightChars="78"/>
              <w:textAlignment w:val="center"/>
              <w:rPr>
                <w:rFonts w:hint="eastAsia" w:ascii="楷体_GB2312" w:hAnsi="宋体" w:eastAsia="楷体_GB2312" w:cs="楷体_GB2312"/>
                <w:color w:val="000000" w:themeColor="text1"/>
                <w:kern w:val="0"/>
                <w:szCs w:val="21"/>
                <w:lang w:eastAsia="zh-CN"/>
              </w:rPr>
            </w:pPr>
            <w:r>
              <w:rPr>
                <w:rFonts w:hint="eastAsia" w:ascii="楷体_GB2312" w:hAnsi="宋体" w:eastAsia="楷体_GB2312" w:cs="楷体_GB2312"/>
                <w:color w:val="000000" w:themeColor="text1"/>
                <w:kern w:val="0"/>
                <w:szCs w:val="21"/>
              </w:rPr>
              <w:t>有关会议记录</w:t>
            </w:r>
            <w:r>
              <w:rPr>
                <w:rFonts w:hint="eastAsia" w:ascii="楷体_GB2312" w:hAnsi="宋体" w:eastAsia="楷体_GB2312" w:cs="楷体_GB2312"/>
                <w:color w:val="000000" w:themeColor="text1"/>
                <w:kern w:val="0"/>
                <w:szCs w:val="21"/>
                <w:lang w:eastAsia="zh-CN"/>
              </w:rPr>
              <w:t>及</w:t>
            </w:r>
            <w:r>
              <w:rPr>
                <w:rFonts w:hint="eastAsia" w:ascii="楷体_GB2312" w:hAnsi="宋体" w:eastAsia="楷体_GB2312" w:cs="楷体_GB2312"/>
                <w:color w:val="000000" w:themeColor="text1"/>
                <w:kern w:val="0"/>
                <w:szCs w:val="21"/>
              </w:rPr>
              <w:t>部署推动文件</w:t>
            </w:r>
            <w:r>
              <w:rPr>
                <w:rFonts w:hint="eastAsia" w:ascii="楷体_GB2312" w:hAnsi="宋体" w:eastAsia="楷体_GB2312" w:cs="楷体_GB2312"/>
                <w:color w:val="000000" w:themeColor="text1"/>
                <w:kern w:val="0"/>
                <w:szCs w:val="21"/>
                <w:lang w:eastAsia="zh-CN"/>
              </w:rPr>
              <w:t>。</w:t>
            </w:r>
          </w:p>
        </w:tc>
        <w:tc>
          <w:tcPr>
            <w:tcW w:w="1170" w:type="dxa"/>
            <w:vMerge w:val="restart"/>
            <w:tcMar>
              <w:top w:w="15" w:type="dxa"/>
              <w:left w:w="15" w:type="dxa"/>
              <w:bottom w:w="15" w:type="dxa"/>
              <w:right w:w="15" w:type="dxa"/>
            </w:tcMar>
            <w:vAlign w:val="center"/>
          </w:tcPr>
          <w:p>
            <w:pPr>
              <w:widowControl/>
              <w:spacing w:line="28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lang w:val="en-US" w:eastAsia="zh-CN"/>
              </w:rPr>
              <w:t>机关</w:t>
            </w:r>
            <w:r>
              <w:rPr>
                <w:rFonts w:hint="eastAsia" w:ascii="楷体_GB2312" w:hAnsi="宋体" w:eastAsia="楷体_GB2312" w:cs="楷体_GB2312"/>
                <w:color w:val="000000" w:themeColor="text1"/>
                <w:szCs w:val="21"/>
              </w:rPr>
              <w:t>各直属党组织</w:t>
            </w:r>
          </w:p>
          <w:p>
            <w:pPr>
              <w:widowControl/>
              <w:spacing w:line="280" w:lineRule="exact"/>
              <w:jc w:val="center"/>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12"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ascii="楷体_GB2312" w:eastAsia="楷体_GB2312"/>
                <w:color w:val="000000" w:themeColor="text1"/>
                <w:szCs w:val="21"/>
                <w:highlight w:val="none"/>
              </w:rPr>
            </w:pPr>
            <w:r>
              <w:rPr>
                <w:rFonts w:hint="eastAsia" w:ascii="楷体_GB2312" w:eastAsia="楷体_GB2312"/>
                <w:color w:val="000000" w:themeColor="text1"/>
                <w:szCs w:val="21"/>
                <w:highlight w:val="none"/>
              </w:rPr>
              <w:t>2.积极组织党组织书记、党员参加机关党委组织的党组织书记、党员轮训班</w:t>
            </w:r>
            <w:r>
              <w:rPr>
                <w:rFonts w:hint="eastAsia" w:ascii="楷体_GB2312" w:hAnsi="宋体" w:eastAsia="楷体_GB2312" w:cs="楷体_GB2312"/>
                <w:color w:val="000000" w:themeColor="text1"/>
                <w:szCs w:val="21"/>
                <w:highlight w:val="none"/>
              </w:rPr>
              <w:t>（2分）</w:t>
            </w:r>
            <w:r>
              <w:rPr>
                <w:rFonts w:hint="eastAsia" w:ascii="楷体_GB2312" w:eastAsia="楷体_GB2312"/>
                <w:color w:val="000000" w:themeColor="text1"/>
                <w:szCs w:val="21"/>
                <w:highlight w:val="none"/>
              </w:rPr>
              <w:t>。</w:t>
            </w:r>
          </w:p>
        </w:tc>
        <w:tc>
          <w:tcPr>
            <w:tcW w:w="3954" w:type="dxa"/>
            <w:tcBorders>
              <w:top w:val="single" w:color="auto" w:sz="4" w:space="0"/>
            </w:tcBorders>
            <w:vAlign w:val="center"/>
          </w:tcPr>
          <w:p>
            <w:pPr>
              <w:widowControl/>
              <w:spacing w:line="320" w:lineRule="exact"/>
              <w:textAlignment w:val="center"/>
              <w:rPr>
                <w:rFonts w:ascii="楷体_GB2312" w:hAnsi="宋体" w:eastAsia="楷体_GB2312" w:cs="楷体_GB2312"/>
                <w:color w:val="000000" w:themeColor="text1"/>
                <w:kern w:val="0"/>
                <w:szCs w:val="21"/>
              </w:rPr>
            </w:pPr>
            <w:r>
              <w:rPr>
                <w:rFonts w:hint="eastAsia" w:ascii="楷体_GB2312" w:hAnsi="宋体" w:eastAsia="楷体_GB2312" w:cs="楷体_GB2312"/>
                <w:color w:val="000000" w:themeColor="text1"/>
                <w:kern w:val="0"/>
                <w:szCs w:val="21"/>
              </w:rPr>
              <w:t>缺勤一次的扣0.</w:t>
            </w:r>
            <w:r>
              <w:rPr>
                <w:rFonts w:hint="eastAsia" w:ascii="楷体_GB2312" w:hAnsi="宋体" w:eastAsia="楷体_GB2312" w:cs="楷体_GB2312"/>
                <w:color w:val="000000" w:themeColor="text1"/>
                <w:kern w:val="0"/>
                <w:szCs w:val="21"/>
                <w:lang w:val="en-US" w:eastAsia="zh-CN"/>
              </w:rPr>
              <w:t>2</w:t>
            </w:r>
            <w:r>
              <w:rPr>
                <w:rFonts w:hint="eastAsia" w:ascii="楷体_GB2312" w:hAnsi="宋体" w:eastAsia="楷体_GB2312" w:cs="楷体_GB2312"/>
                <w:color w:val="000000" w:themeColor="text1"/>
                <w:kern w:val="0"/>
                <w:szCs w:val="21"/>
              </w:rPr>
              <w:t>分，未组织党组织书记、党员参训的扣0.</w:t>
            </w:r>
            <w:r>
              <w:rPr>
                <w:rFonts w:hint="eastAsia" w:ascii="楷体_GB2312" w:hAnsi="宋体" w:eastAsia="楷体_GB2312" w:cs="楷体_GB2312"/>
                <w:color w:val="000000" w:themeColor="text1"/>
                <w:kern w:val="0"/>
                <w:szCs w:val="21"/>
                <w:lang w:val="en-US" w:eastAsia="zh-CN"/>
              </w:rPr>
              <w:t>5</w:t>
            </w:r>
            <w:r>
              <w:rPr>
                <w:rFonts w:hint="eastAsia" w:ascii="楷体_GB2312" w:hAnsi="宋体" w:eastAsia="楷体_GB2312" w:cs="楷体_GB2312"/>
                <w:color w:val="000000" w:themeColor="text1"/>
                <w:kern w:val="0"/>
                <w:szCs w:val="21"/>
              </w:rPr>
              <w:t>分。</w:t>
            </w:r>
          </w:p>
        </w:tc>
        <w:tc>
          <w:tcPr>
            <w:tcW w:w="3285" w:type="dxa"/>
            <w:tcBorders>
              <w:top w:val="single" w:color="auto" w:sz="4" w:space="0"/>
            </w:tcBorders>
            <w:tcMar>
              <w:top w:w="15" w:type="dxa"/>
              <w:left w:w="15" w:type="dxa"/>
              <w:bottom w:w="15" w:type="dxa"/>
              <w:right w:w="15" w:type="dxa"/>
            </w:tcMar>
            <w:vAlign w:val="center"/>
          </w:tcPr>
          <w:p>
            <w:pPr>
              <w:widowControl/>
              <w:spacing w:line="320" w:lineRule="exact"/>
              <w:ind w:right="126" w:rightChars="60"/>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参加党员轮训班</w:t>
            </w:r>
            <w:r>
              <w:rPr>
                <w:rFonts w:hint="eastAsia" w:ascii="楷体_GB2312" w:hAnsi="宋体" w:eastAsia="楷体_GB2312" w:cs="楷体_GB2312"/>
                <w:color w:val="000000" w:themeColor="text1"/>
                <w:szCs w:val="21"/>
                <w:lang w:eastAsia="zh-CN"/>
              </w:rPr>
              <w:t>统计表、</w:t>
            </w:r>
            <w:r>
              <w:rPr>
                <w:rFonts w:hint="eastAsia" w:ascii="楷体_GB2312" w:hAnsi="宋体" w:eastAsia="楷体_GB2312" w:cs="楷体_GB2312"/>
                <w:color w:val="000000" w:themeColor="text1"/>
                <w:szCs w:val="21"/>
              </w:rPr>
              <w:t>学习体会</w:t>
            </w:r>
            <w:r>
              <w:rPr>
                <w:rFonts w:hint="eastAsia" w:ascii="楷体_GB2312" w:hAnsi="宋体" w:eastAsia="楷体_GB2312" w:cs="楷体_GB2312"/>
                <w:color w:val="000000" w:themeColor="text1"/>
                <w:szCs w:val="21"/>
                <w:lang w:eastAsia="zh-CN"/>
              </w:rPr>
              <w:t>等。</w:t>
            </w:r>
          </w:p>
        </w:tc>
        <w:tc>
          <w:tcPr>
            <w:tcW w:w="1170" w:type="dxa"/>
            <w:vMerge w:val="continue"/>
            <w:tcMar>
              <w:top w:w="15" w:type="dxa"/>
              <w:left w:w="15" w:type="dxa"/>
              <w:bottom w:w="15" w:type="dxa"/>
              <w:right w:w="15" w:type="dxa"/>
            </w:tcMar>
            <w:vAlign w:val="center"/>
          </w:tcPr>
          <w:p>
            <w:pPr>
              <w:widowControl/>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restart"/>
            <w:tcBorders>
              <w:top w:val="single" w:color="auto" w:sz="4" w:space="0"/>
            </w:tcBorders>
            <w:vAlign w:val="center"/>
          </w:tcPr>
          <w:p>
            <w:pPr>
              <w:widowControl/>
              <w:spacing w:line="320" w:lineRule="exact"/>
              <w:jc w:val="both"/>
              <w:textAlignment w:val="center"/>
              <w:rPr>
                <w:rFonts w:hint="eastAsia" w:ascii="楷体_GB2312" w:hAnsi="宋体" w:eastAsia="楷体_GB2312" w:cs="楷体_GB2312"/>
                <w:color w:val="000000" w:themeColor="text1"/>
                <w:szCs w:val="21"/>
              </w:rPr>
            </w:pPr>
          </w:p>
          <w:p>
            <w:pPr>
              <w:widowControl/>
              <w:spacing w:line="32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组织推动有力</w:t>
            </w:r>
          </w:p>
          <w:p>
            <w:pPr>
              <w:widowControl/>
              <w:spacing w:line="320" w:lineRule="exact"/>
              <w:jc w:val="center"/>
              <w:textAlignment w:val="center"/>
              <w:rPr>
                <w:rFonts w:hint="eastAsia" w:ascii="楷体_GB2312" w:hAnsi="宋体" w:eastAsia="楷体_GB2312" w:cs="楷体_GB2312"/>
                <w:color w:val="000000" w:themeColor="text1"/>
                <w:szCs w:val="21"/>
              </w:rPr>
            </w:pPr>
          </w:p>
          <w:p>
            <w:pPr>
              <w:widowControl/>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restart"/>
            <w:tcBorders>
              <w:top w:val="single" w:color="auto" w:sz="4" w:space="0"/>
            </w:tcBorders>
            <w:vAlign w:val="center"/>
          </w:tcPr>
          <w:p>
            <w:pPr>
              <w:widowControl/>
              <w:spacing w:line="320" w:lineRule="exact"/>
              <w:jc w:val="center"/>
              <w:textAlignment w:val="center"/>
              <w:rPr>
                <w:rFonts w:hint="eastAsia" w:ascii="楷体_GB2312" w:eastAsia="楷体_GB2312"/>
                <w:color w:val="000000" w:themeColor="text1"/>
                <w:szCs w:val="21"/>
                <w:lang w:val="en-US" w:eastAsia="zh-CN"/>
              </w:rPr>
            </w:pPr>
            <w:r>
              <w:rPr>
                <w:rFonts w:hint="eastAsia" w:ascii="楷体_GB2312" w:eastAsia="楷体_GB2312"/>
                <w:color w:val="000000" w:themeColor="text1"/>
                <w:szCs w:val="21"/>
                <w:lang w:val="en-US" w:eastAsia="zh-CN"/>
              </w:rPr>
              <w:t>13</w:t>
            </w:r>
          </w:p>
        </w:tc>
        <w:tc>
          <w:tcPr>
            <w:tcW w:w="4035" w:type="dxa"/>
            <w:tcBorders>
              <w:top w:val="single" w:color="auto" w:sz="4" w:space="0"/>
            </w:tcBorders>
            <w:vAlign w:val="center"/>
          </w:tcPr>
          <w:p>
            <w:pPr>
              <w:spacing w:line="320" w:lineRule="exact"/>
              <w:jc w:val="left"/>
              <w:textAlignment w:val="center"/>
              <w:rPr>
                <w:rFonts w:ascii="楷体_GB2312" w:hAnsi="宋体" w:eastAsia="楷体_GB2312" w:cs="楷体_GB2312"/>
                <w:color w:val="000000" w:themeColor="text1"/>
                <w:kern w:val="0"/>
                <w:szCs w:val="21"/>
              </w:rPr>
            </w:pPr>
            <w:r>
              <w:rPr>
                <w:rFonts w:hint="eastAsia" w:ascii="楷体_GB2312" w:eastAsia="楷体_GB2312"/>
                <w:color w:val="000000" w:themeColor="text1"/>
                <w:szCs w:val="21"/>
              </w:rPr>
              <w:t>1.认真开展“四史”学习教育活动，组织实施严密，教育效果好（</w:t>
            </w:r>
            <w:r>
              <w:rPr>
                <w:rFonts w:hint="eastAsia" w:ascii="楷体_GB2312" w:eastAsia="楷体_GB2312"/>
                <w:color w:val="000000" w:themeColor="text1"/>
                <w:szCs w:val="21"/>
                <w:lang w:val="en-US" w:eastAsia="zh-CN"/>
              </w:rPr>
              <w:t>4</w:t>
            </w:r>
            <w:r>
              <w:rPr>
                <w:rFonts w:hint="eastAsia" w:ascii="楷体_GB2312" w:eastAsia="楷体_GB2312"/>
                <w:color w:val="000000" w:themeColor="text1"/>
                <w:szCs w:val="21"/>
              </w:rPr>
              <w:t>分）。</w:t>
            </w:r>
          </w:p>
        </w:tc>
        <w:tc>
          <w:tcPr>
            <w:tcW w:w="3954" w:type="dxa"/>
            <w:tcBorders>
              <w:top w:val="single" w:color="auto" w:sz="4" w:space="0"/>
            </w:tcBorders>
            <w:vAlign w:val="center"/>
          </w:tcPr>
          <w:p>
            <w:pPr>
              <w:spacing w:line="320" w:lineRule="exact"/>
              <w:textAlignment w:val="center"/>
              <w:rPr>
                <w:rFonts w:ascii="楷体_GB2312" w:hAnsi="宋体" w:eastAsia="楷体_GB2312" w:cs="楷体_GB2312"/>
                <w:color w:val="000000"/>
                <w:szCs w:val="21"/>
              </w:rPr>
            </w:pPr>
            <w:r>
              <w:rPr>
                <w:rFonts w:hint="eastAsia" w:ascii="楷体_GB2312" w:hAnsi="宋体" w:eastAsia="楷体_GB2312" w:cs="楷体_GB2312"/>
                <w:color w:val="000000"/>
                <w:szCs w:val="21"/>
              </w:rPr>
              <w:t>①佐证材料中每缺少一项扣0.2分</w:t>
            </w:r>
            <w:r>
              <w:rPr>
                <w:rFonts w:hint="eastAsia" w:ascii="楷体_GB2312" w:hAnsi="宋体" w:eastAsia="楷体_GB2312" w:cs="楷体_GB2312"/>
                <w:color w:val="000000"/>
                <w:szCs w:val="21"/>
                <w:lang w:eastAsia="zh-CN"/>
              </w:rPr>
              <w:t>；</w:t>
            </w:r>
            <w:r>
              <w:rPr>
                <w:rFonts w:hint="eastAsia" w:ascii="楷体_GB2312" w:hAnsi="宋体" w:eastAsia="楷体_GB2312" w:cs="楷体_GB2312"/>
                <w:color w:val="000000"/>
                <w:szCs w:val="21"/>
              </w:rPr>
              <w:t>②佐证材料内容质量不高的每项扣0.1分。</w:t>
            </w:r>
          </w:p>
        </w:tc>
        <w:tc>
          <w:tcPr>
            <w:tcW w:w="3285" w:type="dxa"/>
            <w:tcBorders>
              <w:top w:val="single" w:color="auto" w:sz="4" w:space="0"/>
            </w:tcBorders>
            <w:tcMar>
              <w:top w:w="15" w:type="dxa"/>
              <w:left w:w="15" w:type="dxa"/>
              <w:bottom w:w="15" w:type="dxa"/>
              <w:right w:w="15" w:type="dxa"/>
            </w:tcMar>
            <w:vAlign w:val="center"/>
          </w:tcPr>
          <w:p>
            <w:pPr>
              <w:widowControl/>
              <w:spacing w:line="320" w:lineRule="exact"/>
              <w:ind w:left="126" w:leftChars="60" w:right="126" w:rightChars="60"/>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①“四史”教育的工作安排（实施方案等）、开展学习的具体措施（学习研讨记录等）</w:t>
            </w:r>
            <w:r>
              <w:rPr>
                <w:rFonts w:hint="eastAsia" w:ascii="楷体_GB2312" w:hAnsi="宋体" w:eastAsia="楷体_GB2312" w:cs="楷体_GB2312"/>
                <w:color w:val="000000" w:themeColor="text1"/>
                <w:szCs w:val="21"/>
                <w:lang w:eastAsia="zh-CN"/>
              </w:rPr>
              <w:t>；</w:t>
            </w:r>
          </w:p>
          <w:p>
            <w:pPr>
              <w:widowControl/>
              <w:spacing w:line="320" w:lineRule="exact"/>
              <w:ind w:left="126" w:leftChars="60" w:right="126" w:rightChars="60"/>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②用好红色资源，年内安排4次“四史”内容的主题党日活动（活动信息、照片等）</w:t>
            </w:r>
            <w:r>
              <w:rPr>
                <w:rFonts w:hint="eastAsia" w:ascii="楷体_GB2312" w:hAnsi="宋体" w:eastAsia="楷体_GB2312" w:cs="楷体_GB2312"/>
                <w:color w:val="000000" w:themeColor="text1"/>
                <w:szCs w:val="21"/>
                <w:lang w:eastAsia="zh-CN"/>
              </w:rPr>
              <w:t>；</w:t>
            </w:r>
          </w:p>
          <w:p>
            <w:pPr>
              <w:widowControl/>
              <w:spacing w:line="320" w:lineRule="exact"/>
              <w:ind w:left="126" w:leftChars="60" w:right="126" w:rightChars="60"/>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③党组织书记关于“四史”教育讲党课素材。</w:t>
            </w:r>
          </w:p>
        </w:tc>
        <w:tc>
          <w:tcPr>
            <w:tcW w:w="1170" w:type="dxa"/>
            <w:vMerge w:val="continue"/>
            <w:tcMar>
              <w:top w:w="15" w:type="dxa"/>
              <w:left w:w="15" w:type="dxa"/>
              <w:bottom w:w="15" w:type="dxa"/>
              <w:right w:w="15" w:type="dxa"/>
            </w:tcMar>
            <w:vAlign w:val="center"/>
          </w:tcPr>
          <w:p>
            <w:pPr>
              <w:widowControl/>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ascii="楷体_GB2312" w:eastAsia="楷体_GB2312"/>
                <w:color w:val="000000" w:themeColor="text1"/>
                <w:szCs w:val="21"/>
                <w:highlight w:val="red"/>
              </w:rPr>
            </w:pPr>
            <w:r>
              <w:rPr>
                <w:rFonts w:hint="eastAsia" w:ascii="楷体_GB2312" w:eastAsia="楷体_GB2312"/>
                <w:color w:val="000000" w:themeColor="text1"/>
                <w:szCs w:val="21"/>
              </w:rPr>
              <w:t>2.严格</w:t>
            </w:r>
            <w:r>
              <w:rPr>
                <w:rFonts w:hint="eastAsia" w:ascii="楷体_GB2312" w:hAnsi="宋体" w:eastAsia="楷体_GB2312" w:cs="楷体_GB2312"/>
                <w:color w:val="000000" w:themeColor="text1"/>
                <w:szCs w:val="21"/>
              </w:rPr>
              <w:t>开展党员组织关系排查到位。（1分）。</w:t>
            </w:r>
          </w:p>
        </w:tc>
        <w:tc>
          <w:tcPr>
            <w:tcW w:w="3954" w:type="dxa"/>
            <w:vAlign w:val="center"/>
          </w:tcPr>
          <w:p>
            <w:pPr>
              <w:widowControl/>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①无党员台账扣1分</w:t>
            </w:r>
            <w:r>
              <w:rPr>
                <w:rFonts w:hint="eastAsia" w:ascii="楷体_GB2312" w:hAnsi="宋体" w:eastAsia="楷体_GB2312" w:cs="楷体_GB2312"/>
                <w:color w:val="000000" w:themeColor="text1"/>
                <w:szCs w:val="21"/>
                <w:lang w:eastAsia="zh-CN"/>
              </w:rPr>
              <w:t>；</w:t>
            </w:r>
            <w:r>
              <w:rPr>
                <w:rFonts w:hint="eastAsia" w:ascii="楷体_GB2312" w:hAnsi="宋体" w:eastAsia="楷体_GB2312" w:cs="楷体_GB2312"/>
                <w:color w:val="000000" w:themeColor="text1"/>
                <w:szCs w:val="21"/>
              </w:rPr>
              <w:t>②未按要求转接党员组织关系或</w:t>
            </w:r>
            <w:r>
              <w:rPr>
                <w:rFonts w:hint="eastAsia" w:ascii="楷体_GB2312" w:hAnsi="宋体" w:eastAsia="楷体_GB2312" w:cs="楷体_GB2312"/>
                <w:color w:val="000000" w:themeColor="text1"/>
                <w:kern w:val="0"/>
                <w:szCs w:val="21"/>
              </w:rPr>
              <w:t>转接不及时的</w:t>
            </w:r>
            <w:r>
              <w:rPr>
                <w:rFonts w:hint="eastAsia" w:ascii="楷体_GB2312" w:hAnsi="宋体" w:eastAsia="楷体_GB2312" w:cs="楷体_GB2312"/>
                <w:color w:val="000000" w:themeColor="text1"/>
                <w:szCs w:val="21"/>
              </w:rPr>
              <w:t>的扣0.5分。</w:t>
            </w:r>
          </w:p>
        </w:tc>
        <w:tc>
          <w:tcPr>
            <w:tcW w:w="3285" w:type="dxa"/>
            <w:tcBorders>
              <w:top w:val="single" w:color="auto" w:sz="4" w:space="0"/>
            </w:tcBorders>
            <w:tcMar>
              <w:top w:w="15" w:type="dxa"/>
              <w:left w:w="15" w:type="dxa"/>
              <w:bottom w:w="15" w:type="dxa"/>
              <w:right w:w="15" w:type="dxa"/>
            </w:tcMar>
            <w:vAlign w:val="center"/>
          </w:tcPr>
          <w:p>
            <w:pPr>
              <w:widowControl/>
              <w:spacing w:line="320" w:lineRule="exact"/>
              <w:ind w:right="164" w:rightChars="78"/>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①党组织党员台账</w:t>
            </w:r>
            <w:r>
              <w:rPr>
                <w:rFonts w:hint="eastAsia" w:ascii="楷体_GB2312" w:hAnsi="宋体" w:eastAsia="楷体_GB2312" w:cs="楷体_GB2312"/>
                <w:color w:val="000000" w:themeColor="text1"/>
                <w:szCs w:val="21"/>
                <w:lang w:eastAsia="zh-CN"/>
              </w:rPr>
              <w:t>；</w:t>
            </w:r>
          </w:p>
          <w:p>
            <w:pPr>
              <w:widowControl/>
              <w:spacing w:line="320" w:lineRule="exact"/>
              <w:ind w:right="164" w:rightChars="78"/>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②党组织关系转接备案记录</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7"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ascii="楷体_GB2312" w:eastAsia="楷体_GB2312"/>
                <w:color w:val="000000" w:themeColor="text1"/>
                <w:szCs w:val="21"/>
                <w:highlight w:val="red"/>
              </w:rPr>
            </w:pPr>
            <w:r>
              <w:rPr>
                <w:rFonts w:hint="eastAsia" w:ascii="楷体_GB2312" w:hAnsi="宋体" w:eastAsia="楷体_GB2312" w:cs="楷体_GB2312"/>
                <w:color w:val="000000" w:themeColor="text1"/>
                <w:szCs w:val="21"/>
              </w:rPr>
              <w:t>3.扎实开展“五好党支部”创建活动（1分）。</w:t>
            </w:r>
          </w:p>
        </w:tc>
        <w:tc>
          <w:tcPr>
            <w:tcW w:w="3954" w:type="dxa"/>
            <w:vAlign w:val="center"/>
          </w:tcPr>
          <w:p>
            <w:pPr>
              <w:widowControl/>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①后进党支部问题整改完成不彻底的扣0.5分</w:t>
            </w:r>
            <w:r>
              <w:rPr>
                <w:rFonts w:hint="eastAsia" w:ascii="楷体_GB2312" w:hAnsi="宋体" w:eastAsia="楷体_GB2312" w:cs="楷体_GB2312"/>
                <w:color w:val="000000" w:themeColor="text1"/>
                <w:szCs w:val="21"/>
                <w:lang w:eastAsia="zh-CN"/>
              </w:rPr>
              <w:t>；</w:t>
            </w:r>
            <w:r>
              <w:rPr>
                <w:rFonts w:hint="eastAsia" w:ascii="楷体_GB2312" w:hAnsi="宋体" w:eastAsia="楷体_GB2312" w:cs="楷体_GB2312"/>
                <w:color w:val="000000" w:themeColor="text1"/>
                <w:szCs w:val="21"/>
              </w:rPr>
              <w:t>②后进党支部问题整改未完成的扣1分。</w:t>
            </w:r>
          </w:p>
        </w:tc>
        <w:tc>
          <w:tcPr>
            <w:tcW w:w="3285" w:type="dxa"/>
            <w:tcMar>
              <w:top w:w="15" w:type="dxa"/>
              <w:left w:w="15" w:type="dxa"/>
              <w:bottom w:w="15" w:type="dxa"/>
              <w:right w:w="15" w:type="dxa"/>
            </w:tcMar>
            <w:vAlign w:val="center"/>
          </w:tcPr>
          <w:p>
            <w:pPr>
              <w:spacing w:line="360" w:lineRule="exact"/>
              <w:jc w:val="left"/>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相对后进党支部整顿工作任务书（只涉及相对后进党支部）</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ascii="楷体_GB2312" w:eastAsia="楷体_GB2312"/>
                <w:color w:val="000000" w:themeColor="text1"/>
                <w:szCs w:val="21"/>
                <w:highlight w:val="red"/>
              </w:rPr>
            </w:pPr>
            <w:r>
              <w:rPr>
                <w:rFonts w:hint="eastAsia" w:ascii="楷体_GB2312" w:hAnsi="宋体" w:eastAsia="楷体_GB2312" w:cs="楷体_GB2312"/>
                <w:color w:val="000000" w:themeColor="text1"/>
                <w:szCs w:val="21"/>
              </w:rPr>
              <w:t>4.对照保税区2020年度党建重点任务</w:t>
            </w:r>
            <w:r>
              <w:rPr>
                <w:rFonts w:hint="eastAsia" w:ascii="楷体_GB2312" w:hAnsi="宋体" w:eastAsia="楷体_GB2312" w:cs="楷体_GB2312"/>
                <w:color w:val="000000" w:themeColor="text1"/>
                <w:kern w:val="0"/>
                <w:szCs w:val="21"/>
              </w:rPr>
              <w:t>建立基层党建任务清单</w:t>
            </w:r>
            <w:r>
              <w:rPr>
                <w:rFonts w:hint="eastAsia" w:ascii="楷体_GB2312" w:hAnsi="宋体" w:eastAsia="楷体_GB2312" w:cs="楷体_GB2312"/>
                <w:color w:val="000000" w:themeColor="text1"/>
                <w:szCs w:val="21"/>
              </w:rPr>
              <w:t>（2分）</w:t>
            </w:r>
            <w:r>
              <w:rPr>
                <w:rFonts w:hint="eastAsia" w:ascii="楷体_GB2312" w:hAnsi="宋体" w:eastAsia="楷体_GB2312" w:cs="楷体_GB2312"/>
                <w:color w:val="000000" w:themeColor="text1"/>
                <w:kern w:val="0"/>
                <w:szCs w:val="21"/>
              </w:rPr>
              <w:t>。</w:t>
            </w:r>
            <w:r>
              <w:rPr>
                <w:rFonts w:hint="eastAsia" w:ascii="楷体_GB2312" w:eastAsia="楷体_GB2312"/>
                <w:color w:val="000000" w:themeColor="text1"/>
                <w:szCs w:val="21"/>
              </w:rPr>
              <w:t xml:space="preserve"> </w:t>
            </w:r>
          </w:p>
        </w:tc>
        <w:tc>
          <w:tcPr>
            <w:tcW w:w="3954" w:type="dxa"/>
            <w:vAlign w:val="center"/>
          </w:tcPr>
          <w:p>
            <w:pPr>
              <w:widowControl/>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①未建立党组织基层党建任务清单的扣1分</w:t>
            </w:r>
            <w:r>
              <w:rPr>
                <w:rFonts w:hint="eastAsia" w:ascii="楷体_GB2312" w:hAnsi="宋体" w:eastAsia="楷体_GB2312" w:cs="楷体_GB2312"/>
                <w:color w:val="000000" w:themeColor="text1"/>
                <w:szCs w:val="21"/>
                <w:lang w:eastAsia="zh-CN"/>
              </w:rPr>
              <w:t>；</w:t>
            </w:r>
            <w:r>
              <w:rPr>
                <w:rFonts w:hint="eastAsia" w:ascii="楷体_GB2312" w:hAnsi="宋体" w:eastAsia="楷体_GB2312" w:cs="楷体_GB2312"/>
                <w:color w:val="000000" w:themeColor="text1"/>
                <w:szCs w:val="21"/>
              </w:rPr>
              <w:t>②未结合部门实际建立的扣0.5分。</w:t>
            </w:r>
          </w:p>
        </w:tc>
        <w:tc>
          <w:tcPr>
            <w:tcW w:w="3285" w:type="dxa"/>
            <w:tcBorders>
              <w:top w:val="single" w:color="auto" w:sz="4" w:space="0"/>
            </w:tcBorders>
            <w:tcMar>
              <w:top w:w="15" w:type="dxa"/>
              <w:left w:w="15" w:type="dxa"/>
              <w:bottom w:w="15" w:type="dxa"/>
              <w:right w:w="15" w:type="dxa"/>
            </w:tcMar>
            <w:vAlign w:val="center"/>
          </w:tcPr>
          <w:p>
            <w:pPr>
              <w:widowControl/>
              <w:spacing w:line="320" w:lineRule="exact"/>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各级党组织基层党建任务清单</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0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ascii="楷体_GB2312" w:hAnsi="宋体" w:eastAsia="楷体_GB2312" w:cs="楷体_GB2312"/>
                <w:color w:val="000000" w:themeColor="text1"/>
                <w:szCs w:val="21"/>
                <w:highlight w:val="red"/>
              </w:rPr>
            </w:pPr>
            <w:r>
              <w:rPr>
                <w:rFonts w:hint="eastAsia" w:ascii="楷体_GB2312" w:hAnsi="宋体" w:eastAsia="楷体_GB2312" w:cs="楷体_GB2312"/>
                <w:color w:val="000000" w:themeColor="text1"/>
                <w:szCs w:val="21"/>
              </w:rPr>
              <w:t>5.针对2019年度党建巡查和2020年7月份党建巡查整改落实情况（</w:t>
            </w:r>
            <w:r>
              <w:rPr>
                <w:rFonts w:hint="eastAsia" w:ascii="楷体_GB2312" w:hAnsi="宋体" w:eastAsia="楷体_GB2312" w:cs="楷体_GB2312"/>
                <w:color w:val="000000" w:themeColor="text1"/>
                <w:szCs w:val="21"/>
                <w:lang w:val="en-US" w:eastAsia="zh-CN"/>
              </w:rPr>
              <w:t>3</w:t>
            </w:r>
            <w:r>
              <w:rPr>
                <w:rFonts w:hint="eastAsia" w:ascii="楷体_GB2312" w:hAnsi="宋体" w:eastAsia="楷体_GB2312" w:cs="楷体_GB2312"/>
                <w:color w:val="000000" w:themeColor="text1"/>
                <w:szCs w:val="21"/>
              </w:rPr>
              <w:t>分）。</w:t>
            </w:r>
          </w:p>
        </w:tc>
        <w:tc>
          <w:tcPr>
            <w:tcW w:w="3954" w:type="dxa"/>
            <w:vAlign w:val="center"/>
          </w:tcPr>
          <w:p>
            <w:pPr>
              <w:widowControl/>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①无党建整改台账的扣1分</w:t>
            </w:r>
            <w:r>
              <w:rPr>
                <w:rFonts w:hint="eastAsia" w:ascii="楷体_GB2312" w:hAnsi="宋体" w:eastAsia="楷体_GB2312" w:cs="楷体_GB2312"/>
                <w:color w:val="000000" w:themeColor="text1"/>
                <w:szCs w:val="21"/>
                <w:lang w:eastAsia="zh-CN"/>
              </w:rPr>
              <w:t>；</w:t>
            </w:r>
            <w:r>
              <w:rPr>
                <w:rFonts w:hint="eastAsia" w:ascii="楷体_GB2312" w:hAnsi="宋体" w:eastAsia="楷体_GB2312" w:cs="楷体_GB2312"/>
                <w:color w:val="000000" w:themeColor="text1"/>
                <w:szCs w:val="21"/>
              </w:rPr>
              <w:t>②未整改到位的扣0.5分。</w:t>
            </w:r>
          </w:p>
        </w:tc>
        <w:tc>
          <w:tcPr>
            <w:tcW w:w="3285" w:type="dxa"/>
            <w:tcMar>
              <w:top w:w="15" w:type="dxa"/>
              <w:left w:w="15" w:type="dxa"/>
              <w:bottom w:w="15" w:type="dxa"/>
              <w:right w:w="15" w:type="dxa"/>
            </w:tcMar>
            <w:vAlign w:val="center"/>
          </w:tcPr>
          <w:p>
            <w:pPr>
              <w:widowControl/>
              <w:spacing w:line="320" w:lineRule="exact"/>
              <w:ind w:firstLine="105" w:firstLineChars="50"/>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①党建整改台账</w:t>
            </w:r>
            <w:r>
              <w:rPr>
                <w:rFonts w:hint="eastAsia" w:ascii="楷体_GB2312" w:hAnsi="宋体" w:eastAsia="楷体_GB2312" w:cs="楷体_GB2312"/>
                <w:color w:val="000000" w:themeColor="text1"/>
                <w:szCs w:val="21"/>
                <w:lang w:eastAsia="zh-CN"/>
              </w:rPr>
              <w:t>；</w:t>
            </w:r>
          </w:p>
          <w:p>
            <w:pPr>
              <w:widowControl/>
              <w:spacing w:line="320" w:lineRule="exact"/>
              <w:ind w:firstLine="105" w:firstLineChars="50"/>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②在党员大会通报整改完成情况的材料</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9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ascii="楷体_GB2312" w:hAnsi="宋体" w:eastAsia="楷体_GB2312" w:cs="楷体_GB2312"/>
                <w:color w:val="000000" w:themeColor="text1"/>
                <w:szCs w:val="21"/>
                <w:highlight w:val="red"/>
              </w:rPr>
            </w:pPr>
            <w:r>
              <w:rPr>
                <w:rFonts w:hint="eastAsia" w:ascii="楷体_GB2312" w:hAnsi="宋体" w:eastAsia="楷体_GB2312" w:cs="楷体_GB2312"/>
                <w:color w:val="000000" w:themeColor="text1"/>
                <w:szCs w:val="21"/>
              </w:rPr>
              <w:t>6.结合部门实际，及时规范党组织设置，调整理顺隶属关系。基层党组织到期应换尽换实现100%。（2分）。</w:t>
            </w:r>
          </w:p>
        </w:tc>
        <w:tc>
          <w:tcPr>
            <w:tcW w:w="3954" w:type="dxa"/>
            <w:vAlign w:val="center"/>
          </w:tcPr>
          <w:p>
            <w:pPr>
              <w:widowControl/>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①未按期换届的扣1分</w:t>
            </w:r>
            <w:r>
              <w:rPr>
                <w:rFonts w:hint="eastAsia" w:ascii="楷体_GB2312" w:hAnsi="宋体" w:eastAsia="楷体_GB2312" w:cs="楷体_GB2312"/>
                <w:color w:val="000000" w:themeColor="text1"/>
                <w:szCs w:val="21"/>
                <w:lang w:eastAsia="zh-CN"/>
              </w:rPr>
              <w:t>；</w:t>
            </w:r>
            <w:r>
              <w:rPr>
                <w:rFonts w:hint="eastAsia" w:ascii="楷体_GB2312" w:hAnsi="宋体" w:eastAsia="楷体_GB2312" w:cs="楷体_GB2312"/>
                <w:color w:val="000000" w:themeColor="text1"/>
                <w:szCs w:val="21"/>
              </w:rPr>
              <w:t>②按期换届流程不符合规定或未做好归档工作的扣0.5分</w:t>
            </w:r>
            <w:r>
              <w:rPr>
                <w:rFonts w:hint="eastAsia" w:ascii="楷体_GB2312" w:hAnsi="宋体" w:eastAsia="楷体_GB2312" w:cs="楷体_GB2312"/>
                <w:color w:val="000000" w:themeColor="text1"/>
                <w:szCs w:val="21"/>
                <w:lang w:eastAsia="zh-CN"/>
              </w:rPr>
              <w:t>；</w:t>
            </w:r>
            <w:r>
              <w:rPr>
                <w:rFonts w:hint="eastAsia" w:ascii="楷体_GB2312" w:hAnsi="宋体" w:eastAsia="楷体_GB2312" w:cs="楷体_GB2312"/>
                <w:color w:val="000000" w:themeColor="text1"/>
                <w:szCs w:val="21"/>
              </w:rPr>
              <w:t>③党组织设置不合理的扣0.5分。</w:t>
            </w:r>
          </w:p>
        </w:tc>
        <w:tc>
          <w:tcPr>
            <w:tcW w:w="3285" w:type="dxa"/>
            <w:tcMar>
              <w:top w:w="15" w:type="dxa"/>
              <w:left w:w="15" w:type="dxa"/>
              <w:bottom w:w="15" w:type="dxa"/>
              <w:right w:w="15" w:type="dxa"/>
            </w:tcMar>
            <w:vAlign w:val="center"/>
          </w:tcPr>
          <w:p>
            <w:pPr>
              <w:widowControl/>
              <w:spacing w:line="320" w:lineRule="exact"/>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换届选举归档材料。</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5"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restart"/>
            <w:vAlign w:val="center"/>
          </w:tcPr>
          <w:p>
            <w:pPr>
              <w:spacing w:line="32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制度机制完善</w:t>
            </w:r>
          </w:p>
        </w:tc>
        <w:tc>
          <w:tcPr>
            <w:tcW w:w="825" w:type="dxa"/>
            <w:vMerge w:val="restart"/>
            <w:vAlign w:val="center"/>
          </w:tcPr>
          <w:p>
            <w:pPr>
              <w:spacing w:line="320" w:lineRule="exact"/>
              <w:jc w:val="center"/>
              <w:textAlignment w:val="center"/>
              <w:rPr>
                <w:rFonts w:hint="eastAsia" w:ascii="楷体_GB2312" w:eastAsia="楷体_GB2312"/>
                <w:color w:val="000000" w:themeColor="text1"/>
                <w:szCs w:val="21"/>
                <w:lang w:val="en-US" w:eastAsia="zh-CN"/>
              </w:rPr>
            </w:pPr>
            <w:r>
              <w:rPr>
                <w:rFonts w:hint="eastAsia" w:ascii="楷体_GB2312" w:eastAsia="楷体_GB2312"/>
                <w:color w:val="000000" w:themeColor="text1"/>
                <w:szCs w:val="21"/>
                <w:lang w:val="en-US" w:eastAsia="zh-CN"/>
              </w:rPr>
              <w:t>15</w:t>
            </w:r>
          </w:p>
        </w:tc>
        <w:tc>
          <w:tcPr>
            <w:tcW w:w="4035" w:type="dxa"/>
            <w:tcBorders>
              <w:top w:val="single" w:color="auto" w:sz="4" w:space="0"/>
            </w:tcBorders>
            <w:vAlign w:val="center"/>
          </w:tcPr>
          <w:p>
            <w:pPr>
              <w:spacing w:line="320" w:lineRule="exact"/>
              <w:jc w:val="left"/>
              <w:textAlignment w:val="center"/>
              <w:rPr>
                <w:rFonts w:hint="eastAsia" w:ascii="楷体_GB2312" w:eastAsia="楷体_GB2312" w:cs="宋体"/>
                <w:color w:val="000000" w:themeColor="text1"/>
                <w:kern w:val="0"/>
                <w:szCs w:val="21"/>
              </w:rPr>
            </w:pPr>
            <w:r>
              <w:rPr>
                <w:rFonts w:hint="eastAsia" w:ascii="楷体_GB2312" w:hAnsi="宋体" w:eastAsia="楷体_GB2312" w:cs="楷体_GB2312"/>
                <w:color w:val="000000" w:themeColor="text1"/>
                <w:kern w:val="0"/>
                <w:szCs w:val="21"/>
                <w:highlight w:val="none"/>
              </w:rPr>
              <w:t>1.严格落实“三会一课”制度（</w:t>
            </w:r>
            <w:r>
              <w:rPr>
                <w:rFonts w:hint="eastAsia" w:ascii="楷体_GB2312" w:hAnsi="宋体" w:eastAsia="楷体_GB2312" w:cs="楷体_GB2312"/>
                <w:color w:val="000000" w:themeColor="text1"/>
                <w:kern w:val="0"/>
                <w:szCs w:val="21"/>
                <w:highlight w:val="none"/>
                <w:lang w:val="en-US" w:eastAsia="zh-CN"/>
              </w:rPr>
              <w:t>3</w:t>
            </w:r>
            <w:r>
              <w:rPr>
                <w:rFonts w:hint="eastAsia" w:ascii="楷体_GB2312" w:hAnsi="宋体" w:eastAsia="楷体_GB2312" w:cs="楷体_GB2312"/>
                <w:color w:val="000000" w:themeColor="text1"/>
                <w:kern w:val="0"/>
                <w:szCs w:val="21"/>
                <w:highlight w:val="none"/>
              </w:rPr>
              <w:t>分）。</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Cs w:val="21"/>
              </w:rPr>
            </w:pPr>
            <w:r>
              <w:rPr>
                <w:rFonts w:hint="eastAsia" w:ascii="楷体_GB2312" w:hAnsi="宋体" w:eastAsia="楷体_GB2312" w:cs="楷体_GB2312"/>
                <w:color w:val="000000" w:themeColor="text1"/>
                <w:kern w:val="0"/>
                <w:szCs w:val="21"/>
                <w:highlight w:val="none"/>
              </w:rPr>
              <w:t>“三会一课”未按规定开展的，每缺少一次扣0.</w:t>
            </w:r>
            <w:r>
              <w:rPr>
                <w:rFonts w:hint="eastAsia" w:ascii="楷体_GB2312" w:hAnsi="宋体" w:eastAsia="楷体_GB2312" w:cs="楷体_GB2312"/>
                <w:color w:val="000000" w:themeColor="text1"/>
                <w:kern w:val="0"/>
                <w:szCs w:val="21"/>
                <w:highlight w:val="none"/>
                <w:lang w:val="en-US" w:eastAsia="zh-CN"/>
              </w:rPr>
              <w:t>2</w:t>
            </w:r>
            <w:r>
              <w:rPr>
                <w:rFonts w:hint="eastAsia" w:ascii="楷体_GB2312" w:hAnsi="宋体" w:eastAsia="楷体_GB2312" w:cs="楷体_GB2312"/>
                <w:color w:val="000000" w:themeColor="text1"/>
                <w:kern w:val="0"/>
                <w:szCs w:val="21"/>
                <w:highlight w:val="none"/>
              </w:rPr>
              <w:t>分，扣完为止。</w:t>
            </w:r>
          </w:p>
        </w:tc>
        <w:tc>
          <w:tcPr>
            <w:tcW w:w="3285" w:type="dxa"/>
            <w:tcMar>
              <w:top w:w="15" w:type="dxa"/>
              <w:left w:w="15" w:type="dxa"/>
              <w:bottom w:w="15" w:type="dxa"/>
              <w:right w:w="15" w:type="dxa"/>
            </w:tcMar>
            <w:vAlign w:val="center"/>
          </w:tcPr>
          <w:p>
            <w:pPr>
              <w:spacing w:line="320" w:lineRule="exact"/>
              <w:ind w:right="40" w:rightChars="19"/>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highlight w:val="none"/>
              </w:rPr>
              <w:t>线下</w:t>
            </w:r>
            <w:r>
              <w:rPr>
                <w:rFonts w:hint="eastAsia" w:ascii="楷体_GB2312" w:hAnsi="宋体" w:eastAsia="楷体_GB2312" w:cs="楷体_GB2312"/>
                <w:color w:val="000000" w:themeColor="text1"/>
                <w:szCs w:val="21"/>
                <w:highlight w:val="none"/>
                <w:lang w:eastAsia="zh-CN"/>
              </w:rPr>
              <w:t>《</w:t>
            </w:r>
            <w:r>
              <w:rPr>
                <w:rFonts w:hint="eastAsia" w:ascii="楷体_GB2312" w:hAnsi="宋体" w:eastAsia="楷体_GB2312" w:cs="楷体_GB2312"/>
                <w:color w:val="000000" w:themeColor="text1"/>
                <w:szCs w:val="21"/>
                <w:highlight w:val="none"/>
                <w:lang w:val="en-US" w:eastAsia="zh-CN"/>
              </w:rPr>
              <w:t>党支部工作手册》</w:t>
            </w:r>
            <w:r>
              <w:rPr>
                <w:rFonts w:hint="eastAsia" w:ascii="楷体_GB2312" w:hAnsi="宋体" w:eastAsia="楷体_GB2312" w:cs="楷体_GB2312"/>
                <w:color w:val="000000" w:themeColor="text1"/>
                <w:szCs w:val="21"/>
                <w:highlight w:val="none"/>
              </w:rPr>
              <w:t>纸质版记录</w:t>
            </w:r>
            <w:r>
              <w:rPr>
                <w:rFonts w:hint="eastAsia" w:ascii="楷体_GB2312" w:hAnsi="宋体" w:eastAsia="楷体_GB2312" w:cs="楷体_GB2312"/>
                <w:color w:val="000000" w:themeColor="text1"/>
                <w:szCs w:val="21"/>
                <w:highlight w:val="none"/>
                <w:lang w:eastAsia="zh-CN"/>
              </w:rPr>
              <w:t>。</w:t>
            </w:r>
          </w:p>
        </w:tc>
        <w:tc>
          <w:tcPr>
            <w:tcW w:w="1170" w:type="dxa"/>
            <w:vMerge w:val="restart"/>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lang w:val="en-US" w:eastAsia="zh-CN"/>
              </w:rPr>
            </w:pPr>
          </w:p>
          <w:p>
            <w:pPr>
              <w:widowControl/>
              <w:spacing w:line="32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lang w:val="en-US" w:eastAsia="zh-CN"/>
              </w:rPr>
              <w:t>机关</w:t>
            </w:r>
            <w:r>
              <w:rPr>
                <w:rFonts w:hint="eastAsia" w:ascii="楷体_GB2312" w:hAnsi="宋体" w:eastAsia="楷体_GB2312" w:cs="楷体_GB2312"/>
                <w:color w:val="000000" w:themeColor="text1"/>
                <w:szCs w:val="21"/>
              </w:rPr>
              <w:t>各直属党组织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adjustRightInd w:val="0"/>
              <w:snapToGrid w:val="0"/>
              <w:spacing w:line="320" w:lineRule="exact"/>
              <w:jc w:val="left"/>
              <w:textAlignment w:val="center"/>
              <w:rPr>
                <w:rFonts w:hint="eastAsia" w:ascii="楷体_GB2312" w:eastAsia="楷体_GB2312" w:cs="宋体"/>
                <w:color w:val="000000" w:themeColor="text1"/>
                <w:kern w:val="0"/>
                <w:szCs w:val="21"/>
              </w:rPr>
            </w:pPr>
            <w:r>
              <w:rPr>
                <w:rFonts w:hint="eastAsia" w:ascii="楷体_GB2312" w:hAnsi="宋体" w:eastAsia="楷体_GB2312" w:cs="楷体_GB2312"/>
                <w:color w:val="000000" w:themeColor="text1"/>
                <w:kern w:val="0"/>
                <w:szCs w:val="21"/>
              </w:rPr>
              <w:t>2.落实党员主题党日活动制度，每月至少开展一次党的活动，形式多样、效果良好（</w:t>
            </w:r>
            <w:r>
              <w:rPr>
                <w:rFonts w:hint="eastAsia" w:ascii="楷体_GB2312" w:hAnsi="宋体" w:eastAsia="楷体_GB2312" w:cs="楷体_GB2312"/>
                <w:color w:val="000000" w:themeColor="text1"/>
                <w:kern w:val="0"/>
                <w:szCs w:val="21"/>
                <w:lang w:val="en-US" w:eastAsia="zh-CN"/>
              </w:rPr>
              <w:t>1</w:t>
            </w:r>
            <w:r>
              <w:rPr>
                <w:rFonts w:hint="eastAsia" w:ascii="楷体_GB2312" w:hAnsi="宋体" w:eastAsia="楷体_GB2312" w:cs="楷体_GB2312"/>
                <w:color w:val="000000" w:themeColor="text1"/>
                <w:kern w:val="0"/>
                <w:szCs w:val="21"/>
              </w:rPr>
              <w:t>分）。</w:t>
            </w:r>
          </w:p>
        </w:tc>
        <w:tc>
          <w:tcPr>
            <w:tcW w:w="3954" w:type="dxa"/>
            <w:vAlign w:val="center"/>
          </w:tcPr>
          <w:p>
            <w:pPr>
              <w:adjustRightInd w:val="0"/>
              <w:snapToGrid w:val="0"/>
              <w:spacing w:line="320" w:lineRule="exact"/>
              <w:textAlignment w:val="center"/>
              <w:rPr>
                <w:rFonts w:hint="eastAsia" w:ascii="楷体_GB2312" w:hAnsi="宋体" w:eastAsia="楷体_GB2312" w:cs="楷体_GB2312"/>
                <w:color w:val="000000" w:themeColor="text1"/>
                <w:kern w:val="0"/>
                <w:szCs w:val="21"/>
              </w:rPr>
            </w:pPr>
            <w:r>
              <w:rPr>
                <w:rFonts w:hint="eastAsia" w:ascii="楷体_GB2312" w:hAnsi="宋体" w:eastAsia="楷体_GB2312" w:cs="楷体_GB2312"/>
                <w:color w:val="000000" w:themeColor="text1"/>
                <w:kern w:val="0"/>
                <w:szCs w:val="21"/>
              </w:rPr>
              <w:t>每缺少一次的扣0.</w:t>
            </w:r>
            <w:r>
              <w:rPr>
                <w:rFonts w:hint="eastAsia" w:ascii="楷体_GB2312" w:hAnsi="宋体" w:eastAsia="楷体_GB2312" w:cs="楷体_GB2312"/>
                <w:color w:val="000000" w:themeColor="text1"/>
                <w:kern w:val="0"/>
                <w:szCs w:val="21"/>
                <w:lang w:val="en-US" w:eastAsia="zh-CN"/>
              </w:rPr>
              <w:t>2</w:t>
            </w:r>
            <w:r>
              <w:rPr>
                <w:rFonts w:hint="eastAsia" w:ascii="楷体_GB2312" w:hAnsi="宋体" w:eastAsia="楷体_GB2312" w:cs="楷体_GB2312"/>
                <w:color w:val="000000" w:themeColor="text1"/>
                <w:kern w:val="0"/>
                <w:szCs w:val="21"/>
              </w:rPr>
              <w:t>分。</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党支部主题党日相关素材</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7"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textAlignment w:val="center"/>
              <w:rPr>
                <w:rFonts w:hint="eastAsia" w:ascii="楷体_GB2312" w:eastAsia="楷体_GB2312" w:cs="宋体"/>
                <w:color w:val="000000" w:themeColor="text1"/>
                <w:kern w:val="0"/>
                <w:szCs w:val="21"/>
              </w:rPr>
            </w:pPr>
            <w:r>
              <w:rPr>
                <w:rFonts w:hint="eastAsia" w:ascii="楷体_GB2312" w:hAnsi="宋体" w:eastAsia="楷体_GB2312" w:cs="楷体_GB2312"/>
                <w:color w:val="000000" w:themeColor="text1"/>
                <w:kern w:val="0"/>
                <w:szCs w:val="21"/>
                <w:highlight w:val="none"/>
              </w:rPr>
              <w:t>3.按规定收缴党费并及时上缴，严格管理和规范使用（</w:t>
            </w:r>
            <w:r>
              <w:rPr>
                <w:rFonts w:hint="eastAsia" w:ascii="楷体_GB2312" w:hAnsi="宋体" w:eastAsia="楷体_GB2312" w:cs="楷体_GB2312"/>
                <w:color w:val="000000" w:themeColor="text1"/>
                <w:kern w:val="0"/>
                <w:szCs w:val="21"/>
                <w:highlight w:val="none"/>
                <w:lang w:val="en-US" w:eastAsia="zh-CN"/>
              </w:rPr>
              <w:t>2</w:t>
            </w:r>
            <w:r>
              <w:rPr>
                <w:rFonts w:hint="eastAsia" w:ascii="楷体_GB2312" w:hAnsi="宋体" w:eastAsia="楷体_GB2312" w:cs="楷体_GB2312"/>
                <w:color w:val="000000" w:themeColor="text1"/>
                <w:kern w:val="0"/>
                <w:szCs w:val="21"/>
                <w:highlight w:val="none"/>
              </w:rPr>
              <w:t>分）。</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Cs w:val="21"/>
              </w:rPr>
            </w:pPr>
            <w:r>
              <w:rPr>
                <w:rFonts w:hint="eastAsia" w:ascii="楷体_GB2312" w:hAnsi="宋体" w:eastAsia="楷体_GB2312" w:cs="楷体_GB2312"/>
                <w:color w:val="000000" w:themeColor="text1"/>
                <w:szCs w:val="21"/>
              </w:rPr>
              <w:t>未按照要求时间上缴党费的</w:t>
            </w:r>
            <w:r>
              <w:rPr>
                <w:rFonts w:hint="eastAsia" w:ascii="楷体_GB2312" w:hAnsi="宋体" w:eastAsia="楷体_GB2312" w:cs="楷体_GB2312"/>
                <w:color w:val="000000" w:themeColor="text1"/>
                <w:szCs w:val="21"/>
                <w:lang w:eastAsia="zh-CN"/>
              </w:rPr>
              <w:t>、出现漏缴的，每次</w:t>
            </w:r>
            <w:r>
              <w:rPr>
                <w:rFonts w:hint="eastAsia" w:ascii="楷体_GB2312" w:hAnsi="宋体" w:eastAsia="楷体_GB2312" w:cs="楷体_GB2312"/>
                <w:color w:val="000000" w:themeColor="text1"/>
                <w:szCs w:val="21"/>
              </w:rPr>
              <w:t>扣0.</w:t>
            </w:r>
            <w:r>
              <w:rPr>
                <w:rFonts w:hint="eastAsia" w:ascii="楷体_GB2312" w:hAnsi="宋体" w:eastAsia="楷体_GB2312" w:cs="楷体_GB2312"/>
                <w:color w:val="000000" w:themeColor="text1"/>
                <w:szCs w:val="21"/>
                <w:lang w:val="en-US" w:eastAsia="zh-CN"/>
              </w:rPr>
              <w:t>2</w:t>
            </w:r>
            <w:r>
              <w:rPr>
                <w:rFonts w:hint="eastAsia" w:ascii="楷体_GB2312" w:hAnsi="宋体" w:eastAsia="楷体_GB2312" w:cs="楷体_GB2312"/>
                <w:color w:val="000000" w:themeColor="text1"/>
                <w:szCs w:val="21"/>
              </w:rPr>
              <w:t>分。</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有关档案资料等</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2"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hint="eastAsia" w:ascii="楷体_GB2312" w:hAnsi="Calibri" w:eastAsia="楷体_GB2312" w:cs="宋体"/>
                <w:color w:val="000000" w:themeColor="text1"/>
                <w:kern w:val="0"/>
                <w:sz w:val="21"/>
                <w:szCs w:val="21"/>
                <w:lang w:val="en-US" w:eastAsia="zh-CN" w:bidi="ar-SA"/>
              </w:rPr>
            </w:pPr>
            <w:r>
              <w:rPr>
                <w:rFonts w:hint="eastAsia" w:ascii="楷体_GB2312" w:eastAsia="楷体_GB2312" w:cs="宋体"/>
                <w:color w:val="000000" w:themeColor="text1"/>
                <w:kern w:val="0"/>
                <w:szCs w:val="21"/>
                <w:lang w:val="en-US" w:eastAsia="zh-CN"/>
              </w:rPr>
              <w:t>4.</w:t>
            </w:r>
            <w:r>
              <w:rPr>
                <w:rFonts w:hint="eastAsia" w:ascii="楷体_GB2312" w:eastAsia="楷体_GB2312" w:cs="宋体"/>
                <w:color w:val="000000" w:themeColor="text1"/>
                <w:kern w:val="0"/>
                <w:szCs w:val="21"/>
              </w:rPr>
              <w:t>在职党员双报到</w:t>
            </w:r>
            <w:r>
              <w:rPr>
                <w:rFonts w:hint="eastAsia" w:ascii="楷体_GB2312" w:eastAsia="楷体_GB2312" w:cs="宋体"/>
                <w:color w:val="000000" w:themeColor="text1"/>
                <w:kern w:val="0"/>
                <w:szCs w:val="21"/>
                <w:lang w:eastAsia="zh-CN"/>
              </w:rPr>
              <w:t>情况</w:t>
            </w:r>
            <w:r>
              <w:rPr>
                <w:rFonts w:hint="eastAsia" w:ascii="楷体_GB2312" w:eastAsia="楷体_GB2312" w:cs="宋体"/>
                <w:color w:val="000000" w:themeColor="text1"/>
                <w:kern w:val="0"/>
                <w:szCs w:val="21"/>
              </w:rPr>
              <w:t>（</w:t>
            </w:r>
            <w:r>
              <w:rPr>
                <w:rFonts w:hint="eastAsia" w:ascii="楷体_GB2312" w:eastAsia="楷体_GB2312" w:cs="宋体"/>
                <w:color w:val="000000" w:themeColor="text1"/>
                <w:kern w:val="0"/>
                <w:szCs w:val="21"/>
                <w:lang w:val="en-US" w:eastAsia="zh-CN"/>
              </w:rPr>
              <w:t>1</w:t>
            </w:r>
            <w:r>
              <w:rPr>
                <w:rFonts w:hint="eastAsia" w:ascii="楷体_GB2312" w:eastAsia="楷体_GB2312" w:cs="宋体"/>
                <w:color w:val="000000" w:themeColor="text1"/>
                <w:kern w:val="0"/>
                <w:szCs w:val="21"/>
              </w:rPr>
              <w:t>分）</w:t>
            </w:r>
            <w:r>
              <w:rPr>
                <w:rFonts w:hint="eastAsia" w:ascii="楷体_GB2312" w:eastAsia="楷体_GB2312" w:cs="宋体"/>
                <w:color w:val="000000" w:themeColor="text1"/>
                <w:kern w:val="0"/>
                <w:szCs w:val="21"/>
                <w:lang w:eastAsia="zh-CN"/>
              </w:rPr>
              <w:t>。</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 w:val="21"/>
                <w:szCs w:val="21"/>
                <w:lang w:val="en-US" w:eastAsia="zh-CN" w:bidi="ar-SA"/>
              </w:rPr>
            </w:pPr>
            <w:r>
              <w:rPr>
                <w:rFonts w:hint="eastAsia" w:ascii="楷体_GB2312" w:hAnsi="宋体" w:eastAsia="楷体_GB2312" w:cs="楷体_GB2312"/>
                <w:color w:val="000000" w:themeColor="text1"/>
                <w:kern w:val="0"/>
                <w:szCs w:val="21"/>
              </w:rPr>
              <w:t>有在职党员没有到居住地所在地社区双报到的，扣1分</w:t>
            </w:r>
            <w:r>
              <w:rPr>
                <w:rFonts w:hint="eastAsia" w:ascii="楷体_GB2312" w:hAnsi="宋体" w:eastAsia="楷体_GB2312" w:cs="楷体_GB2312"/>
                <w:color w:val="000000" w:themeColor="text1"/>
                <w:kern w:val="0"/>
                <w:szCs w:val="21"/>
                <w:lang w:eastAsia="zh-CN"/>
              </w:rPr>
              <w:t>；</w:t>
            </w:r>
            <w:r>
              <w:rPr>
                <w:rFonts w:hint="eastAsia" w:ascii="楷体_GB2312" w:hAnsi="宋体" w:eastAsia="楷体_GB2312" w:cs="楷体_GB2312"/>
                <w:color w:val="000000" w:themeColor="text1"/>
                <w:kern w:val="0"/>
                <w:szCs w:val="21"/>
              </w:rPr>
              <w:t>双报到台账登记不准确的，扣0.5分</w:t>
            </w:r>
            <w:r>
              <w:rPr>
                <w:rFonts w:hint="eastAsia" w:ascii="楷体_GB2312" w:hAnsi="宋体" w:eastAsia="楷体_GB2312" w:cs="楷体_GB2312"/>
                <w:color w:val="000000" w:themeColor="text1"/>
                <w:kern w:val="0"/>
                <w:szCs w:val="21"/>
                <w:lang w:eastAsia="zh-CN"/>
              </w:rPr>
              <w:t>。</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kern w:val="2"/>
                <w:sz w:val="21"/>
                <w:szCs w:val="21"/>
                <w:lang w:val="en-US" w:eastAsia="zh-CN" w:bidi="ar-SA"/>
              </w:rPr>
            </w:pPr>
            <w:r>
              <w:rPr>
                <w:rFonts w:hint="eastAsia" w:ascii="楷体_GB2312" w:hAnsi="宋体" w:eastAsia="楷体_GB2312" w:cs="楷体_GB2312"/>
                <w:color w:val="000000" w:themeColor="text1"/>
                <w:szCs w:val="21"/>
              </w:rPr>
              <w:t>党组织和在职党员双报到台账</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7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hint="eastAsia" w:ascii="楷体_GB2312" w:hAnsi="Calibri" w:eastAsia="楷体_GB2312" w:cs="宋体"/>
                <w:color w:val="000000" w:themeColor="text1"/>
                <w:kern w:val="0"/>
                <w:sz w:val="21"/>
                <w:szCs w:val="21"/>
                <w:lang w:val="en-US" w:eastAsia="zh-CN" w:bidi="ar-SA"/>
              </w:rPr>
            </w:pPr>
            <w:r>
              <w:rPr>
                <w:rFonts w:hint="eastAsia" w:ascii="楷体_GB2312" w:eastAsia="楷体_GB2312" w:cs="宋体"/>
                <w:color w:val="000000" w:themeColor="text1"/>
                <w:kern w:val="0"/>
                <w:szCs w:val="21"/>
                <w:lang w:val="en-US" w:eastAsia="zh-CN"/>
              </w:rPr>
              <w:t>5.</w:t>
            </w:r>
            <w:r>
              <w:rPr>
                <w:rFonts w:hint="eastAsia" w:ascii="楷体_GB2312" w:eastAsia="楷体_GB2312" w:cs="宋体"/>
                <w:color w:val="000000" w:themeColor="text1"/>
                <w:kern w:val="0"/>
                <w:szCs w:val="21"/>
              </w:rPr>
              <w:t>谈心谈话制度落实情况（</w:t>
            </w:r>
            <w:r>
              <w:rPr>
                <w:rFonts w:hint="eastAsia" w:ascii="楷体_GB2312" w:eastAsia="楷体_GB2312" w:cs="宋体"/>
                <w:color w:val="000000" w:themeColor="text1"/>
                <w:kern w:val="0"/>
                <w:szCs w:val="21"/>
                <w:lang w:val="en-US" w:eastAsia="zh-CN"/>
              </w:rPr>
              <w:t>2</w:t>
            </w:r>
            <w:r>
              <w:rPr>
                <w:rFonts w:hint="eastAsia" w:ascii="楷体_GB2312" w:eastAsia="楷体_GB2312" w:cs="宋体"/>
                <w:color w:val="000000" w:themeColor="text1"/>
                <w:kern w:val="0"/>
                <w:szCs w:val="21"/>
              </w:rPr>
              <w:t>分）</w:t>
            </w:r>
            <w:r>
              <w:rPr>
                <w:rFonts w:hint="eastAsia" w:ascii="楷体_GB2312" w:eastAsia="楷体_GB2312" w:cs="宋体"/>
                <w:color w:val="000000" w:themeColor="text1"/>
                <w:kern w:val="0"/>
                <w:szCs w:val="21"/>
                <w:lang w:eastAsia="zh-CN"/>
              </w:rPr>
              <w:t>。</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 w:val="21"/>
                <w:szCs w:val="21"/>
                <w:lang w:val="en-US" w:eastAsia="zh-CN" w:bidi="ar-SA"/>
              </w:rPr>
            </w:pPr>
            <w:r>
              <w:rPr>
                <w:rFonts w:hint="eastAsia" w:ascii="楷体_GB2312" w:hAnsi="宋体" w:eastAsia="楷体_GB2312" w:cs="楷体_GB2312"/>
                <w:color w:val="000000" w:themeColor="text1"/>
                <w:kern w:val="0"/>
                <w:szCs w:val="21"/>
              </w:rPr>
              <w:t>未按照《保税区党内谈心谈话》制度开展谈话的每人次扣0.2分，谈话记录质量不高的每人次扣0.1分，扣完为止。</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kern w:val="2"/>
                <w:sz w:val="21"/>
                <w:szCs w:val="21"/>
                <w:lang w:val="en-US" w:eastAsia="zh-CN" w:bidi="ar-SA"/>
              </w:rPr>
            </w:pPr>
            <w:r>
              <w:rPr>
                <w:rFonts w:hint="eastAsia" w:ascii="楷体_GB2312" w:hAnsi="宋体" w:eastAsia="楷体_GB2312" w:cs="楷体_GB2312"/>
                <w:color w:val="000000" w:themeColor="text1"/>
                <w:szCs w:val="21"/>
              </w:rPr>
              <w:t>谈心谈话记录本</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hint="eastAsia" w:ascii="楷体_GB2312" w:hAnsi="Calibri" w:eastAsia="楷体_GB2312" w:cs="宋体"/>
                <w:color w:val="000000" w:themeColor="text1"/>
                <w:kern w:val="0"/>
                <w:sz w:val="21"/>
                <w:szCs w:val="21"/>
                <w:lang w:val="en-US" w:eastAsia="zh-CN" w:bidi="ar-SA"/>
              </w:rPr>
            </w:pPr>
            <w:r>
              <w:rPr>
                <w:rFonts w:hint="eastAsia" w:ascii="楷体_GB2312" w:eastAsia="楷体_GB2312" w:cs="宋体"/>
                <w:color w:val="000000" w:themeColor="text1"/>
                <w:kern w:val="0"/>
                <w:szCs w:val="21"/>
                <w:lang w:val="en-US" w:eastAsia="zh-CN"/>
              </w:rPr>
              <w:t>6.</w:t>
            </w:r>
            <w:r>
              <w:rPr>
                <w:rFonts w:hint="eastAsia" w:ascii="楷体_GB2312" w:eastAsia="楷体_GB2312" w:cs="宋体"/>
                <w:color w:val="000000" w:themeColor="text1"/>
                <w:kern w:val="0"/>
                <w:szCs w:val="21"/>
              </w:rPr>
              <w:t>调研制度完成情况（2分）</w:t>
            </w:r>
            <w:r>
              <w:rPr>
                <w:rFonts w:hint="eastAsia" w:ascii="楷体_GB2312" w:eastAsia="楷体_GB2312" w:cs="宋体"/>
                <w:color w:val="000000" w:themeColor="text1"/>
                <w:kern w:val="0"/>
                <w:szCs w:val="21"/>
                <w:lang w:eastAsia="zh-CN"/>
              </w:rPr>
              <w:t>。</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 w:val="21"/>
                <w:szCs w:val="21"/>
                <w:lang w:val="en-US" w:eastAsia="zh-CN" w:bidi="ar-SA"/>
              </w:rPr>
            </w:pPr>
            <w:r>
              <w:rPr>
                <w:rFonts w:hint="eastAsia" w:ascii="楷体_GB2312" w:hAnsi="宋体" w:eastAsia="楷体_GB2312" w:cs="楷体_GB2312"/>
                <w:color w:val="000000" w:themeColor="text1"/>
                <w:kern w:val="0"/>
                <w:szCs w:val="21"/>
              </w:rPr>
              <w:t>未提交调研报告的扣1分，调研报告质量不高的扣0.5分。</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kern w:val="2"/>
                <w:sz w:val="21"/>
                <w:szCs w:val="21"/>
                <w:lang w:val="en-US" w:eastAsia="zh-CN" w:bidi="ar-SA"/>
              </w:rPr>
            </w:pPr>
            <w:r>
              <w:rPr>
                <w:rFonts w:hint="eastAsia" w:ascii="楷体_GB2312" w:hAnsi="宋体" w:eastAsia="楷体_GB2312" w:cs="楷体_GB2312"/>
                <w:color w:val="000000" w:themeColor="text1"/>
                <w:szCs w:val="21"/>
              </w:rPr>
              <w:t>部门正副职调研报告</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4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hint="eastAsia" w:ascii="楷体_GB2312" w:hAnsi="Calibri" w:eastAsia="楷体_GB2312" w:cs="宋体"/>
                <w:color w:val="000000" w:themeColor="text1"/>
                <w:kern w:val="0"/>
                <w:sz w:val="21"/>
                <w:szCs w:val="21"/>
                <w:lang w:val="en-US" w:eastAsia="zh-CN" w:bidi="ar-SA"/>
              </w:rPr>
            </w:pPr>
            <w:r>
              <w:rPr>
                <w:rFonts w:hint="eastAsia" w:ascii="楷体_GB2312" w:eastAsia="楷体_GB2312" w:cs="宋体"/>
                <w:color w:val="000000" w:themeColor="text1"/>
                <w:kern w:val="0"/>
                <w:szCs w:val="21"/>
                <w:lang w:val="en-US" w:eastAsia="zh-CN"/>
              </w:rPr>
              <w:t>7.</w:t>
            </w:r>
            <w:r>
              <w:rPr>
                <w:rFonts w:hint="eastAsia" w:ascii="楷体_GB2312" w:eastAsia="楷体_GB2312" w:cs="宋体"/>
                <w:color w:val="000000" w:themeColor="text1"/>
                <w:kern w:val="0"/>
                <w:szCs w:val="21"/>
              </w:rPr>
              <w:t>党员干部直接联系基层群众情况，党组织与企业党组织结对共建情况（</w:t>
            </w:r>
            <w:r>
              <w:rPr>
                <w:rFonts w:hint="eastAsia" w:ascii="楷体_GB2312" w:eastAsia="楷体_GB2312" w:cs="宋体"/>
                <w:color w:val="000000" w:themeColor="text1"/>
                <w:kern w:val="0"/>
                <w:szCs w:val="21"/>
                <w:lang w:val="en-US" w:eastAsia="zh-CN"/>
              </w:rPr>
              <w:t>2</w:t>
            </w:r>
            <w:r>
              <w:rPr>
                <w:rFonts w:hint="eastAsia" w:ascii="楷体_GB2312" w:eastAsia="楷体_GB2312" w:cs="宋体"/>
                <w:color w:val="000000" w:themeColor="text1"/>
                <w:kern w:val="0"/>
                <w:szCs w:val="21"/>
              </w:rPr>
              <w:t>分）</w:t>
            </w:r>
            <w:r>
              <w:rPr>
                <w:rFonts w:hint="eastAsia" w:ascii="楷体_GB2312" w:eastAsia="楷体_GB2312" w:cs="宋体"/>
                <w:color w:val="000000" w:themeColor="text1"/>
                <w:kern w:val="0"/>
                <w:szCs w:val="21"/>
                <w:lang w:eastAsia="zh-CN"/>
              </w:rPr>
              <w:t>。</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 w:val="21"/>
                <w:szCs w:val="21"/>
                <w:lang w:val="en-US" w:eastAsia="zh-CN" w:bidi="ar-SA"/>
              </w:rPr>
            </w:pPr>
            <w:r>
              <w:rPr>
                <w:rFonts w:hint="eastAsia" w:ascii="楷体_GB2312" w:hAnsi="宋体" w:eastAsia="楷体_GB2312" w:cs="楷体_GB2312"/>
                <w:color w:val="000000" w:themeColor="text1"/>
                <w:kern w:val="0"/>
                <w:szCs w:val="21"/>
              </w:rPr>
              <w:t>全年未开展党员干部直接联系基层群众的扣1分，党组织未与企业党组织结对共建的扣1分，提交材料质量不高的扣0.5分</w:t>
            </w:r>
            <w:r>
              <w:rPr>
                <w:rFonts w:hint="eastAsia" w:ascii="楷体_GB2312" w:hAnsi="宋体" w:eastAsia="楷体_GB2312" w:cs="楷体_GB2312"/>
                <w:color w:val="000000" w:themeColor="text1"/>
                <w:kern w:val="0"/>
                <w:szCs w:val="21"/>
                <w:lang w:eastAsia="zh-CN"/>
              </w:rPr>
              <w:t>，扣完为止</w:t>
            </w:r>
            <w:r>
              <w:rPr>
                <w:rFonts w:hint="eastAsia" w:ascii="楷体_GB2312" w:hAnsi="宋体" w:eastAsia="楷体_GB2312" w:cs="楷体_GB2312"/>
                <w:color w:val="000000" w:themeColor="text1"/>
                <w:kern w:val="0"/>
                <w:szCs w:val="21"/>
              </w:rPr>
              <w:t>。</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kern w:val="2"/>
                <w:sz w:val="21"/>
                <w:szCs w:val="21"/>
                <w:lang w:val="en-US" w:eastAsia="zh-CN" w:bidi="ar-SA"/>
              </w:rPr>
            </w:pPr>
            <w:r>
              <w:rPr>
                <w:rFonts w:hint="eastAsia" w:ascii="楷体_GB2312" w:hAnsi="宋体" w:eastAsia="楷体_GB2312" w:cs="楷体_GB2312"/>
                <w:color w:val="000000" w:themeColor="text1"/>
                <w:szCs w:val="21"/>
              </w:rPr>
              <w:t>2020年党员干部直接联系群众情况统计表、党员干部直接联系群众情况报告、党组织与企业联系情况佐证素材</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6"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hint="eastAsia" w:ascii="楷体_GB2312" w:hAnsi="Calibri" w:eastAsia="楷体_GB2312" w:cs="宋体"/>
                <w:color w:val="000000" w:themeColor="text1"/>
                <w:kern w:val="0"/>
                <w:sz w:val="21"/>
                <w:szCs w:val="21"/>
                <w:lang w:val="en-US" w:eastAsia="zh-CN" w:bidi="ar-SA"/>
              </w:rPr>
            </w:pPr>
            <w:r>
              <w:rPr>
                <w:rFonts w:hint="eastAsia" w:ascii="楷体_GB2312" w:eastAsia="楷体_GB2312" w:cs="宋体"/>
                <w:color w:val="000000" w:themeColor="text1"/>
                <w:kern w:val="0"/>
                <w:szCs w:val="21"/>
                <w:lang w:val="en-US" w:eastAsia="zh-CN"/>
              </w:rPr>
              <w:t>8.</w:t>
            </w:r>
            <w:r>
              <w:rPr>
                <w:rFonts w:hint="eastAsia" w:ascii="楷体_GB2312" w:eastAsia="楷体_GB2312" w:cs="宋体"/>
                <w:color w:val="000000" w:themeColor="text1"/>
                <w:kern w:val="0"/>
                <w:szCs w:val="21"/>
              </w:rPr>
              <w:t>党组织开展政治生日情况（1分）</w:t>
            </w:r>
            <w:r>
              <w:rPr>
                <w:rFonts w:hint="eastAsia" w:ascii="楷体_GB2312" w:eastAsia="楷体_GB2312" w:cs="宋体"/>
                <w:color w:val="000000" w:themeColor="text1"/>
                <w:kern w:val="0"/>
                <w:szCs w:val="21"/>
                <w:lang w:eastAsia="zh-CN"/>
              </w:rPr>
              <w:t>。</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 w:val="21"/>
                <w:szCs w:val="21"/>
                <w:lang w:val="en-US" w:eastAsia="zh-CN" w:bidi="ar-SA"/>
              </w:rPr>
            </w:pPr>
            <w:r>
              <w:rPr>
                <w:rFonts w:hint="eastAsia" w:ascii="楷体_GB2312" w:hAnsi="宋体" w:eastAsia="楷体_GB2312" w:cs="楷体_GB2312"/>
                <w:color w:val="000000" w:themeColor="text1"/>
                <w:kern w:val="0"/>
                <w:szCs w:val="21"/>
              </w:rPr>
              <w:t>未开展政治生日的扣0.5分。</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kern w:val="2"/>
                <w:sz w:val="21"/>
                <w:szCs w:val="21"/>
                <w:lang w:val="en-US" w:eastAsia="zh-CN" w:bidi="ar-SA"/>
              </w:rPr>
            </w:pPr>
            <w:r>
              <w:rPr>
                <w:rFonts w:hint="eastAsia" w:ascii="楷体_GB2312" w:hAnsi="宋体" w:eastAsia="楷体_GB2312" w:cs="楷体_GB2312"/>
                <w:color w:val="000000" w:themeColor="text1"/>
                <w:szCs w:val="21"/>
              </w:rPr>
              <w:t>开展政治生日的记录、照片等</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0"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spacing w:line="320" w:lineRule="exact"/>
              <w:jc w:val="center"/>
              <w:textAlignment w:val="center"/>
              <w:rPr>
                <w:rFonts w:hint="eastAsia" w:ascii="楷体_GB2312" w:hAnsi="宋体" w:eastAsia="楷体_GB2312" w:cs="楷体_GB2312"/>
                <w:color w:val="000000" w:themeColor="text1"/>
                <w:szCs w:val="21"/>
              </w:rPr>
            </w:pPr>
          </w:p>
        </w:tc>
        <w:tc>
          <w:tcPr>
            <w:tcW w:w="825" w:type="dxa"/>
            <w:vMerge w:val="continue"/>
            <w:vAlign w:val="center"/>
          </w:tcPr>
          <w:p>
            <w:pPr>
              <w:spacing w:line="320" w:lineRule="exact"/>
              <w:jc w:val="center"/>
              <w:textAlignment w:val="center"/>
              <w:rPr>
                <w:rFonts w:hint="eastAsia" w:ascii="楷体_GB2312" w:eastAsia="楷体_GB2312"/>
                <w:color w:val="000000" w:themeColor="text1"/>
                <w:szCs w:val="21"/>
              </w:rPr>
            </w:pPr>
          </w:p>
        </w:tc>
        <w:tc>
          <w:tcPr>
            <w:tcW w:w="4035" w:type="dxa"/>
            <w:tcBorders>
              <w:top w:val="single" w:color="auto" w:sz="4" w:space="0"/>
            </w:tcBorders>
            <w:vAlign w:val="center"/>
          </w:tcPr>
          <w:p>
            <w:pPr>
              <w:spacing w:line="320" w:lineRule="exact"/>
              <w:jc w:val="left"/>
              <w:textAlignment w:val="center"/>
              <w:rPr>
                <w:rFonts w:hint="eastAsia" w:ascii="楷体_GB2312" w:hAnsi="Calibri" w:eastAsia="楷体_GB2312" w:cs="宋体"/>
                <w:color w:val="000000" w:themeColor="text1"/>
                <w:kern w:val="0"/>
                <w:sz w:val="21"/>
                <w:szCs w:val="21"/>
                <w:lang w:val="en-US" w:eastAsia="zh-CN" w:bidi="ar-SA"/>
              </w:rPr>
            </w:pPr>
            <w:r>
              <w:rPr>
                <w:rFonts w:hint="eastAsia" w:ascii="楷体_GB2312" w:eastAsia="楷体_GB2312" w:cs="宋体"/>
                <w:color w:val="000000" w:themeColor="text1"/>
                <w:kern w:val="0"/>
                <w:szCs w:val="21"/>
                <w:lang w:val="en-US" w:eastAsia="zh-CN"/>
              </w:rPr>
              <w:t>9.</w:t>
            </w:r>
            <w:r>
              <w:rPr>
                <w:rFonts w:hint="eastAsia" w:ascii="楷体_GB2312" w:eastAsia="楷体_GB2312" w:cs="宋体"/>
                <w:color w:val="000000" w:themeColor="text1"/>
                <w:kern w:val="0"/>
                <w:szCs w:val="21"/>
              </w:rPr>
              <w:t>党组织党务公开情况（1分）</w:t>
            </w:r>
            <w:r>
              <w:rPr>
                <w:rFonts w:hint="eastAsia" w:ascii="楷体_GB2312" w:eastAsia="楷体_GB2312" w:cs="宋体"/>
                <w:color w:val="000000" w:themeColor="text1"/>
                <w:kern w:val="0"/>
                <w:szCs w:val="21"/>
                <w:lang w:eastAsia="zh-CN"/>
              </w:rPr>
              <w:t>。</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 w:val="21"/>
                <w:szCs w:val="21"/>
                <w:lang w:val="en-US" w:eastAsia="zh-CN" w:bidi="ar-SA"/>
              </w:rPr>
            </w:pPr>
            <w:r>
              <w:rPr>
                <w:rFonts w:hint="eastAsia" w:ascii="楷体_GB2312" w:hAnsi="宋体" w:eastAsia="楷体_GB2312" w:cs="楷体_GB2312"/>
                <w:color w:val="000000" w:themeColor="text1"/>
                <w:kern w:val="0"/>
                <w:szCs w:val="21"/>
              </w:rPr>
              <w:t>未制定并落实党务公开目录清单实现100%的扣0.5分。</w:t>
            </w:r>
          </w:p>
        </w:tc>
        <w:tc>
          <w:tcPr>
            <w:tcW w:w="3285" w:type="dxa"/>
            <w:tcMar>
              <w:top w:w="15" w:type="dxa"/>
              <w:left w:w="15" w:type="dxa"/>
              <w:bottom w:w="15" w:type="dxa"/>
              <w:right w:w="15" w:type="dxa"/>
            </w:tcMar>
            <w:vAlign w:val="center"/>
          </w:tcPr>
          <w:p>
            <w:pPr>
              <w:spacing w:line="320" w:lineRule="exact"/>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①党务公开目录</w:t>
            </w:r>
            <w:r>
              <w:rPr>
                <w:rFonts w:hint="eastAsia" w:ascii="楷体_GB2312" w:hAnsi="宋体" w:eastAsia="楷体_GB2312" w:cs="楷体_GB2312"/>
                <w:color w:val="000000" w:themeColor="text1"/>
                <w:szCs w:val="21"/>
                <w:lang w:eastAsia="zh-CN"/>
              </w:rPr>
              <w:t>；</w:t>
            </w:r>
          </w:p>
          <w:p>
            <w:pPr>
              <w:spacing w:line="320" w:lineRule="exact"/>
              <w:textAlignment w:val="center"/>
              <w:rPr>
                <w:rFonts w:hint="eastAsia" w:ascii="楷体_GB2312" w:hAnsi="宋体" w:eastAsia="楷体_GB2312" w:cs="楷体_GB2312"/>
                <w:color w:val="000000" w:themeColor="text1"/>
                <w:kern w:val="2"/>
                <w:sz w:val="21"/>
                <w:szCs w:val="21"/>
                <w:lang w:val="en-US" w:eastAsia="zh-CN" w:bidi="ar-SA"/>
              </w:rPr>
            </w:pPr>
            <w:r>
              <w:rPr>
                <w:rFonts w:hint="eastAsia" w:ascii="楷体_GB2312" w:hAnsi="宋体" w:eastAsia="楷体_GB2312" w:cs="楷体_GB2312"/>
                <w:color w:val="000000" w:themeColor="text1"/>
                <w:szCs w:val="21"/>
              </w:rPr>
              <w:t>②党务公开的记录等</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hint="eastAsia"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64"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Align w:val="center"/>
          </w:tcPr>
          <w:p>
            <w:pPr>
              <w:widowControl/>
              <w:spacing w:line="280" w:lineRule="exact"/>
              <w:jc w:val="center"/>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加强干部队伍建设</w:t>
            </w:r>
          </w:p>
        </w:tc>
        <w:tc>
          <w:tcPr>
            <w:tcW w:w="825" w:type="dxa"/>
            <w:vAlign w:val="center"/>
          </w:tcPr>
          <w:p>
            <w:pPr>
              <w:widowControl/>
              <w:spacing w:line="280" w:lineRule="exact"/>
              <w:jc w:val="center"/>
              <w:textAlignment w:val="center"/>
              <w:rPr>
                <w:rFonts w:hint="eastAsia" w:ascii="楷体_GB2312" w:eastAsia="楷体_GB2312"/>
                <w:color w:val="000000" w:themeColor="text1"/>
                <w:szCs w:val="21"/>
                <w:lang w:val="en-US" w:eastAsia="zh-CN"/>
              </w:rPr>
            </w:pPr>
            <w:r>
              <w:rPr>
                <w:rFonts w:hint="eastAsia" w:ascii="楷体_GB2312" w:hAnsi="宋体" w:eastAsia="楷体_GB2312" w:cs="楷体_GB2312"/>
                <w:color w:val="000000" w:themeColor="text1"/>
                <w:szCs w:val="21"/>
              </w:rPr>
              <w:t>4</w:t>
            </w:r>
          </w:p>
        </w:tc>
        <w:tc>
          <w:tcPr>
            <w:tcW w:w="4035" w:type="dxa"/>
            <w:tcBorders>
              <w:top w:val="single" w:color="auto" w:sz="4" w:space="0"/>
            </w:tcBorders>
            <w:vAlign w:val="center"/>
          </w:tcPr>
          <w:p>
            <w:pPr>
              <w:spacing w:line="320" w:lineRule="exact"/>
              <w:textAlignment w:val="center"/>
              <w:rPr>
                <w:rFonts w:hint="eastAsia" w:ascii="楷体_GB2312" w:hAnsi="宋体" w:eastAsia="楷体_GB2312" w:cs="楷体_GB2312"/>
                <w:color w:val="000000" w:themeColor="text1"/>
                <w:szCs w:val="21"/>
                <w:highlight w:val="none"/>
              </w:rPr>
            </w:pPr>
            <w:r>
              <w:rPr>
                <w:rFonts w:hint="eastAsia" w:ascii="楷体_GB2312" w:hAnsi="宋体" w:eastAsia="楷体_GB2312" w:cs="楷体_GB2312"/>
                <w:color w:val="000000" w:themeColor="text1"/>
                <w:szCs w:val="21"/>
                <w:highlight w:val="none"/>
              </w:rPr>
              <w:t>有计划安排各级干部接受系统的理论培训和严格的党性锻炼，加强本部门本单位干部教育培训，积极配合党委抽调干部参加的组织调训，积极参加网络培训、专题讲座，中层及以上领导干部每年参加不少</w:t>
            </w:r>
            <w:r>
              <w:rPr>
                <w:rFonts w:hint="eastAsia" w:ascii="楷体_GB2312" w:hAnsi="宋体" w:eastAsia="楷体_GB2312" w:cs="楷体_GB2312"/>
                <w:color w:val="000000" w:themeColor="text1"/>
                <w:szCs w:val="21"/>
                <w:highlight w:val="none"/>
                <w:lang w:eastAsia="zh-CN"/>
              </w:rPr>
              <w:t>于</w:t>
            </w:r>
            <w:r>
              <w:rPr>
                <w:rFonts w:hint="eastAsia" w:ascii="楷体_GB2312" w:hAnsi="宋体" w:eastAsia="楷体_GB2312" w:cs="楷体_GB2312"/>
                <w:color w:val="000000" w:themeColor="text1"/>
                <w:szCs w:val="21"/>
                <w:highlight w:val="none"/>
              </w:rPr>
              <w:t>110学时、科级</w:t>
            </w:r>
            <w:r>
              <w:rPr>
                <w:rFonts w:hint="eastAsia" w:ascii="楷体_GB2312" w:hAnsi="宋体" w:eastAsia="楷体_GB2312" w:cs="楷体_GB2312"/>
                <w:color w:val="000000" w:themeColor="text1"/>
                <w:szCs w:val="21"/>
                <w:highlight w:val="none"/>
                <w:lang w:eastAsia="zh-CN"/>
              </w:rPr>
              <w:t>及</w:t>
            </w:r>
            <w:r>
              <w:rPr>
                <w:rFonts w:hint="eastAsia" w:ascii="楷体_GB2312" w:hAnsi="宋体" w:eastAsia="楷体_GB2312" w:cs="楷体_GB2312"/>
                <w:color w:val="000000" w:themeColor="text1"/>
                <w:szCs w:val="21"/>
                <w:highlight w:val="none"/>
              </w:rPr>
              <w:t>以下干部不少于90学时</w:t>
            </w:r>
            <w:r>
              <w:rPr>
                <w:rFonts w:hint="eastAsia" w:ascii="楷体_GB2312" w:hAnsi="宋体" w:eastAsia="楷体_GB2312" w:cs="楷体_GB2312"/>
                <w:color w:val="000000" w:themeColor="text1"/>
                <w:szCs w:val="21"/>
                <w:highlight w:val="none"/>
                <w:lang w:eastAsia="zh-CN"/>
              </w:rPr>
              <w:t>的</w:t>
            </w:r>
            <w:r>
              <w:rPr>
                <w:rFonts w:hint="eastAsia" w:ascii="楷体_GB2312" w:hAnsi="宋体" w:eastAsia="楷体_GB2312" w:cs="楷体_GB2312"/>
                <w:color w:val="000000" w:themeColor="text1"/>
                <w:szCs w:val="21"/>
                <w:highlight w:val="none"/>
              </w:rPr>
              <w:t>培训（4分）。</w:t>
            </w:r>
          </w:p>
        </w:tc>
        <w:tc>
          <w:tcPr>
            <w:tcW w:w="3954" w:type="dxa"/>
            <w:vAlign w:val="center"/>
          </w:tcPr>
          <w:p>
            <w:pPr>
              <w:spacing w:line="320" w:lineRule="exact"/>
              <w:textAlignment w:val="center"/>
              <w:rPr>
                <w:rFonts w:hint="eastAsia" w:ascii="楷体_GB2312" w:hAnsi="宋体" w:eastAsia="楷体_GB2312" w:cs="楷体_GB2312"/>
                <w:color w:val="000000" w:themeColor="text1"/>
                <w:kern w:val="0"/>
                <w:szCs w:val="21"/>
              </w:rPr>
            </w:pPr>
            <w:r>
              <w:rPr>
                <w:rFonts w:hint="eastAsia" w:ascii="楷体_GB2312" w:hAnsi="宋体" w:eastAsia="楷体_GB2312" w:cs="楷体_GB2312"/>
                <w:color w:val="000000" w:themeColor="text1"/>
                <w:szCs w:val="21"/>
              </w:rPr>
              <w:t>部门存在一名未按时完成在线学习的干部扣0.2分；未按时按要求报送学时登记表的扣1分。</w:t>
            </w:r>
          </w:p>
        </w:tc>
        <w:tc>
          <w:tcPr>
            <w:tcW w:w="3285" w:type="dxa"/>
            <w:tcMar>
              <w:top w:w="15" w:type="dxa"/>
              <w:left w:w="15" w:type="dxa"/>
              <w:bottom w:w="15" w:type="dxa"/>
              <w:right w:w="15" w:type="dxa"/>
            </w:tcMar>
            <w:vAlign w:val="center"/>
          </w:tcPr>
          <w:p>
            <w:pPr>
              <w:spacing w:line="320" w:lineRule="exact"/>
              <w:ind w:right="164" w:rightChars="78"/>
              <w:textAlignment w:val="center"/>
              <w:rPr>
                <w:rFonts w:hint="eastAsia"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rPr>
              <w:t>学时登记表</w:t>
            </w:r>
            <w:r>
              <w:rPr>
                <w:rFonts w:hint="eastAsia" w:ascii="楷体_GB2312" w:hAnsi="宋体" w:eastAsia="楷体_GB2312" w:cs="楷体_GB2312"/>
                <w:color w:val="000000" w:themeColor="text1"/>
                <w:szCs w:val="21"/>
                <w:lang w:eastAsia="zh-CN"/>
              </w:rPr>
              <w:t>。</w:t>
            </w:r>
          </w:p>
        </w:tc>
        <w:tc>
          <w:tcPr>
            <w:tcW w:w="1170" w:type="dxa"/>
            <w:vMerge w:val="restart"/>
            <w:tcMar>
              <w:top w:w="15" w:type="dxa"/>
              <w:left w:w="15" w:type="dxa"/>
              <w:bottom w:w="15" w:type="dxa"/>
              <w:right w:w="15" w:type="dxa"/>
            </w:tcMar>
            <w:vAlign w:val="center"/>
          </w:tcPr>
          <w:p>
            <w:pPr>
              <w:widowControl/>
              <w:spacing w:line="320" w:lineRule="exact"/>
              <w:jc w:val="center"/>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lang w:val="en-US" w:eastAsia="zh-CN"/>
              </w:rPr>
              <w:t>机关</w:t>
            </w:r>
            <w:r>
              <w:rPr>
                <w:rFonts w:hint="eastAsia" w:ascii="楷体_GB2312" w:hAnsi="宋体" w:eastAsia="楷体_GB2312" w:cs="楷体_GB2312"/>
                <w:color w:val="000000" w:themeColor="text1"/>
                <w:szCs w:val="21"/>
              </w:rPr>
              <w:t>各直属党组织</w:t>
            </w:r>
          </w:p>
          <w:p>
            <w:pPr>
              <w:jc w:val="center"/>
              <w:rPr>
                <w:rFonts w:ascii="楷体_GB2312" w:hAnsi="宋体" w:eastAsia="楷体_GB2312" w:cs="楷体_GB2312"/>
                <w:b/>
                <w:color w:val="000000" w:themeColor="text1"/>
                <w:szCs w:val="21"/>
              </w:rPr>
            </w:pPr>
            <w:r>
              <w:rPr>
                <w:rFonts w:hint="eastAsia" w:ascii="楷体_GB2312" w:hAnsi="宋体" w:eastAsia="楷体_GB2312" w:cs="楷体_GB2312"/>
                <w:color w:val="000000" w:themeColor="text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6"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restart"/>
            <w:vAlign w:val="center"/>
          </w:tcPr>
          <w:p>
            <w:pPr>
              <w:spacing w:line="320" w:lineRule="exact"/>
              <w:jc w:val="center"/>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lang w:eastAsia="zh-CN"/>
              </w:rPr>
              <w:t>建强</w:t>
            </w:r>
            <w:r>
              <w:rPr>
                <w:rFonts w:hint="eastAsia" w:ascii="楷体_GB2312" w:hAnsi="宋体" w:eastAsia="楷体_GB2312" w:cs="楷体_GB2312"/>
                <w:color w:val="000000" w:themeColor="text1"/>
                <w:szCs w:val="21"/>
              </w:rPr>
              <w:t>骨干队伍</w:t>
            </w:r>
          </w:p>
        </w:tc>
        <w:tc>
          <w:tcPr>
            <w:tcW w:w="825" w:type="dxa"/>
            <w:vMerge w:val="restart"/>
            <w:vAlign w:val="center"/>
          </w:tcPr>
          <w:p>
            <w:pPr>
              <w:spacing w:line="320" w:lineRule="exact"/>
              <w:jc w:val="center"/>
              <w:textAlignment w:val="center"/>
              <w:rPr>
                <w:rFonts w:hint="eastAsia" w:ascii="楷体_GB2312" w:eastAsia="楷体_GB2312"/>
                <w:color w:val="000000" w:themeColor="text1"/>
                <w:szCs w:val="21"/>
                <w:lang w:eastAsia="zh-CN"/>
              </w:rPr>
            </w:pPr>
            <w:r>
              <w:rPr>
                <w:rFonts w:hint="eastAsia" w:ascii="楷体_GB2312" w:eastAsia="楷体_GB2312"/>
                <w:color w:val="000000" w:themeColor="text1"/>
                <w:szCs w:val="21"/>
                <w:lang w:val="en-US" w:eastAsia="zh-CN"/>
              </w:rPr>
              <w:t>4</w:t>
            </w:r>
          </w:p>
        </w:tc>
        <w:tc>
          <w:tcPr>
            <w:tcW w:w="4035" w:type="dxa"/>
            <w:tcBorders>
              <w:top w:val="single" w:color="auto" w:sz="4" w:space="0"/>
            </w:tcBorders>
            <w:vAlign w:val="center"/>
          </w:tcPr>
          <w:p>
            <w:pPr>
              <w:spacing w:line="320" w:lineRule="exact"/>
              <w:jc w:val="left"/>
              <w:textAlignment w:val="center"/>
              <w:rPr>
                <w:rFonts w:ascii="楷体_GB2312" w:hAnsi="宋体" w:eastAsia="楷体_GB2312" w:cs="楷体_GB2312"/>
                <w:color w:val="000000" w:themeColor="text1"/>
                <w:szCs w:val="21"/>
                <w:highlight w:val="none"/>
              </w:rPr>
            </w:pPr>
            <w:r>
              <w:rPr>
                <w:rFonts w:hint="eastAsia" w:ascii="楷体_GB2312" w:hAnsi="宋体" w:eastAsia="楷体_GB2312" w:cs="楷体_GB2312"/>
                <w:color w:val="000000" w:themeColor="text1"/>
                <w:szCs w:val="21"/>
                <w:highlight w:val="none"/>
              </w:rPr>
              <w:t>1.认真组织开展“万名党员联万户”工作（1分）。</w:t>
            </w:r>
          </w:p>
        </w:tc>
        <w:tc>
          <w:tcPr>
            <w:tcW w:w="3954" w:type="dxa"/>
            <w:vAlign w:val="center"/>
          </w:tcPr>
          <w:p>
            <w:pPr>
              <w:widowControl/>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kern w:val="0"/>
                <w:szCs w:val="21"/>
              </w:rPr>
              <w:t>未组织开展的扣1分。</w:t>
            </w:r>
          </w:p>
        </w:tc>
        <w:tc>
          <w:tcPr>
            <w:tcW w:w="3285" w:type="dxa"/>
            <w:tcMar>
              <w:top w:w="15" w:type="dxa"/>
              <w:left w:w="15" w:type="dxa"/>
              <w:bottom w:w="15" w:type="dxa"/>
              <w:right w:w="15" w:type="dxa"/>
            </w:tcMar>
            <w:vAlign w:val="center"/>
          </w:tcPr>
          <w:p>
            <w:pPr>
              <w:widowControl/>
              <w:spacing w:line="320" w:lineRule="exact"/>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有关档案资料等</w:t>
            </w:r>
            <w:r>
              <w:rPr>
                <w:rFonts w:hint="eastAsia" w:ascii="楷体_GB2312" w:hAnsi="宋体" w:eastAsia="楷体_GB2312" w:cs="楷体_GB2312"/>
                <w:color w:val="000000" w:themeColor="text1"/>
                <w:szCs w:val="21"/>
                <w:lang w:eastAsia="zh-CN"/>
              </w:rPr>
              <w:t>。</w:t>
            </w:r>
          </w:p>
        </w:tc>
        <w:tc>
          <w:tcPr>
            <w:tcW w:w="1170" w:type="dxa"/>
            <w:vMerge w:val="continue"/>
            <w:tcMar>
              <w:top w:w="15" w:type="dxa"/>
              <w:left w:w="15" w:type="dxa"/>
              <w:bottom w:w="15" w:type="dxa"/>
              <w:right w:w="15" w:type="dxa"/>
            </w:tcMar>
            <w:vAlign w:val="center"/>
          </w:tcPr>
          <w:p>
            <w:pPr>
              <w:widowControl/>
              <w:spacing w:line="32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2"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4035" w:type="dxa"/>
            <w:tcBorders>
              <w:bottom w:val="single" w:color="auto" w:sz="4" w:space="0"/>
            </w:tcBorders>
            <w:vAlign w:val="center"/>
          </w:tcPr>
          <w:p>
            <w:pPr>
              <w:spacing w:line="320" w:lineRule="exact"/>
              <w:jc w:val="left"/>
              <w:textAlignment w:val="center"/>
              <w:rPr>
                <w:rFonts w:ascii="楷体_GB2312" w:eastAsia="楷体_GB2312"/>
                <w:color w:val="000000" w:themeColor="text1"/>
                <w:szCs w:val="21"/>
                <w:highlight w:val="none"/>
              </w:rPr>
            </w:pPr>
            <w:r>
              <w:rPr>
                <w:rFonts w:hint="eastAsia" w:ascii="楷体_GB2312" w:hAnsi="宋体" w:eastAsia="楷体_GB2312" w:cs="楷体_GB2312"/>
                <w:color w:val="000000" w:themeColor="text1"/>
                <w:kern w:val="0"/>
                <w:szCs w:val="21"/>
                <w:highlight w:val="none"/>
              </w:rPr>
              <w:t>2.严格执行发展党员各项制度程序，完成计划率达100%以上，党员组织关系调入调出及时，党员档案和电子档案完整规范，及时录入《天津市党的基层组织建设信息系统》中“发展党员工作档案模块”</w:t>
            </w:r>
            <w:r>
              <w:rPr>
                <w:rFonts w:hint="eastAsia" w:ascii="楷体_GB2312" w:hAnsi="宋体" w:eastAsia="楷体_GB2312" w:cs="楷体_GB2312"/>
                <w:color w:val="000000" w:themeColor="text1"/>
                <w:szCs w:val="21"/>
                <w:highlight w:val="none"/>
              </w:rPr>
              <w:t>（2分）</w:t>
            </w:r>
            <w:r>
              <w:rPr>
                <w:rFonts w:hint="eastAsia" w:ascii="楷体_GB2312" w:hAnsi="宋体" w:eastAsia="楷体_GB2312" w:cs="楷体_GB2312"/>
                <w:color w:val="000000" w:themeColor="text1"/>
                <w:kern w:val="0"/>
                <w:szCs w:val="21"/>
                <w:highlight w:val="none"/>
              </w:rPr>
              <w:t>。</w:t>
            </w:r>
          </w:p>
        </w:tc>
        <w:tc>
          <w:tcPr>
            <w:tcW w:w="3954" w:type="dxa"/>
            <w:tcBorders>
              <w:bottom w:val="single" w:color="auto" w:sz="4" w:space="0"/>
            </w:tcBorders>
            <w:vAlign w:val="center"/>
          </w:tcPr>
          <w:p>
            <w:pPr>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szCs w:val="21"/>
                <w:highlight w:val="none"/>
              </w:rPr>
              <w:t>新发展党员、党员转正档案未按照要求修改的扣1分；未及时录入系统的扣0.5分；未及时调入调出党组织关系的扣0.5分。</w:t>
            </w:r>
          </w:p>
        </w:tc>
        <w:tc>
          <w:tcPr>
            <w:tcW w:w="3285" w:type="dxa"/>
            <w:tcBorders>
              <w:bottom w:val="single" w:color="auto" w:sz="4" w:space="0"/>
            </w:tcBorders>
            <w:vAlign w:val="center"/>
          </w:tcPr>
          <w:p>
            <w:pPr>
              <w:widowControl/>
              <w:spacing w:line="320" w:lineRule="exact"/>
              <w:textAlignment w:val="center"/>
              <w:rPr>
                <w:rFonts w:hint="default" w:ascii="楷体_GB2312" w:hAnsi="宋体" w:eastAsia="楷体_GB2312" w:cs="楷体_GB2312"/>
                <w:color w:val="000000" w:themeColor="text1"/>
                <w:szCs w:val="21"/>
                <w:lang w:val="en-US" w:eastAsia="zh-CN"/>
              </w:rPr>
            </w:pPr>
            <w:r>
              <w:rPr>
                <w:rFonts w:hint="eastAsia" w:ascii="楷体_GB2312" w:hAnsi="宋体" w:eastAsia="楷体_GB2312" w:cs="楷体_GB2312"/>
                <w:color w:val="000000" w:themeColor="text1"/>
                <w:szCs w:val="21"/>
                <w:lang w:val="en-US" w:eastAsia="zh-CN"/>
              </w:rPr>
              <w:t>发展党员档案及党组织关系转接相关材料。</w:t>
            </w:r>
          </w:p>
        </w:tc>
        <w:tc>
          <w:tcPr>
            <w:tcW w:w="1170" w:type="dxa"/>
            <w:vMerge w:val="continue"/>
            <w:vAlign w:val="center"/>
          </w:tcPr>
          <w:p>
            <w:pPr>
              <w:widowControl/>
              <w:spacing w:line="280" w:lineRule="exact"/>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6" w:hRule="atLeast"/>
        </w:trPr>
        <w:tc>
          <w:tcPr>
            <w:tcW w:w="730" w:type="dxa"/>
            <w:vMerge w:val="continue"/>
            <w:vAlign w:val="center"/>
          </w:tcPr>
          <w:p>
            <w:pPr>
              <w:jc w:val="center"/>
              <w:rPr>
                <w:rFonts w:ascii="楷体_GB2312" w:hAnsi="宋体" w:eastAsia="楷体_GB2312" w:cs="楷体_GB2312"/>
                <w:color w:val="000000" w:themeColor="text1"/>
                <w:kern w:val="0"/>
                <w:szCs w:val="21"/>
              </w:rPr>
            </w:pPr>
          </w:p>
        </w:tc>
        <w:tc>
          <w:tcPr>
            <w:tcW w:w="70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825" w:type="dxa"/>
            <w:vMerge w:val="continue"/>
            <w:vAlign w:val="center"/>
          </w:tcPr>
          <w:p>
            <w:pPr>
              <w:widowControl/>
              <w:spacing w:line="320" w:lineRule="exact"/>
              <w:jc w:val="center"/>
              <w:textAlignment w:val="center"/>
              <w:rPr>
                <w:rFonts w:ascii="楷体_GB2312" w:hAnsi="宋体" w:eastAsia="楷体_GB2312" w:cs="楷体_GB2312"/>
                <w:color w:val="000000" w:themeColor="text1"/>
                <w:szCs w:val="21"/>
              </w:rPr>
            </w:pPr>
          </w:p>
        </w:tc>
        <w:tc>
          <w:tcPr>
            <w:tcW w:w="4035" w:type="dxa"/>
            <w:tcBorders>
              <w:top w:val="single" w:color="auto" w:sz="4" w:space="0"/>
              <w:bottom w:val="single" w:color="auto" w:sz="4" w:space="0"/>
            </w:tcBorders>
            <w:vAlign w:val="center"/>
          </w:tcPr>
          <w:p>
            <w:pPr>
              <w:spacing w:line="320" w:lineRule="exact"/>
              <w:jc w:val="left"/>
              <w:textAlignment w:val="center"/>
              <w:rPr>
                <w:rFonts w:ascii="楷体_GB2312" w:hAnsi="宋体" w:eastAsia="楷体_GB2312" w:cs="楷体_GB2312"/>
                <w:color w:val="000000" w:themeColor="text1"/>
                <w:kern w:val="0"/>
                <w:szCs w:val="21"/>
                <w:highlight w:val="red"/>
              </w:rPr>
            </w:pPr>
            <w:r>
              <w:rPr>
                <w:rFonts w:hint="eastAsia" w:ascii="楷体_GB2312" w:hAnsi="宋体" w:eastAsia="楷体_GB2312" w:cs="楷体_GB2312"/>
                <w:color w:val="000000" w:themeColor="text1"/>
                <w:kern w:val="0"/>
                <w:szCs w:val="21"/>
              </w:rPr>
              <w:t>3.党建宣传工作情况</w:t>
            </w:r>
            <w:r>
              <w:rPr>
                <w:rFonts w:hint="eastAsia" w:ascii="楷体_GB2312" w:hAnsi="宋体" w:eastAsia="楷体_GB2312" w:cs="楷体_GB2312"/>
                <w:color w:val="000000" w:themeColor="text1"/>
                <w:szCs w:val="21"/>
              </w:rPr>
              <w:t>（</w:t>
            </w:r>
            <w:r>
              <w:rPr>
                <w:rFonts w:hint="eastAsia" w:ascii="楷体_GB2312" w:hAnsi="宋体" w:eastAsia="楷体_GB2312" w:cs="楷体_GB2312"/>
                <w:color w:val="000000" w:themeColor="text1"/>
                <w:szCs w:val="21"/>
                <w:lang w:val="en-US" w:eastAsia="zh-CN"/>
              </w:rPr>
              <w:t>1</w:t>
            </w:r>
            <w:r>
              <w:rPr>
                <w:rFonts w:hint="eastAsia" w:ascii="楷体_GB2312" w:hAnsi="宋体" w:eastAsia="楷体_GB2312" w:cs="楷体_GB2312"/>
                <w:color w:val="000000" w:themeColor="text1"/>
                <w:szCs w:val="21"/>
              </w:rPr>
              <w:t>分）</w:t>
            </w:r>
            <w:r>
              <w:rPr>
                <w:rFonts w:hint="eastAsia" w:ascii="楷体_GB2312" w:hAnsi="宋体" w:eastAsia="楷体_GB2312" w:cs="楷体_GB2312"/>
                <w:color w:val="000000" w:themeColor="text1"/>
                <w:kern w:val="0"/>
                <w:szCs w:val="21"/>
              </w:rPr>
              <w:t>。</w:t>
            </w:r>
          </w:p>
        </w:tc>
        <w:tc>
          <w:tcPr>
            <w:tcW w:w="3954" w:type="dxa"/>
            <w:tcBorders>
              <w:top w:val="single" w:color="auto" w:sz="4" w:space="0"/>
              <w:bottom w:val="single" w:color="auto" w:sz="4" w:space="0"/>
            </w:tcBorders>
            <w:vAlign w:val="center"/>
          </w:tcPr>
          <w:p>
            <w:pPr>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kern w:val="0"/>
                <w:szCs w:val="21"/>
              </w:rPr>
              <w:t>每报送一篇党建信息加0.1分，每报送一篇疫情防控先进典型的加0.1分。最多为</w:t>
            </w:r>
            <w:r>
              <w:rPr>
                <w:rFonts w:hint="eastAsia" w:ascii="楷体_GB2312" w:hAnsi="宋体" w:eastAsia="楷体_GB2312" w:cs="楷体_GB2312"/>
                <w:color w:val="000000" w:themeColor="text1"/>
                <w:kern w:val="0"/>
                <w:szCs w:val="21"/>
                <w:lang w:val="en-US" w:eastAsia="zh-CN"/>
              </w:rPr>
              <w:t>1</w:t>
            </w:r>
            <w:r>
              <w:rPr>
                <w:rFonts w:hint="eastAsia" w:ascii="楷体_GB2312" w:hAnsi="宋体" w:eastAsia="楷体_GB2312" w:cs="楷体_GB2312"/>
                <w:color w:val="000000" w:themeColor="text1"/>
                <w:kern w:val="0"/>
                <w:szCs w:val="21"/>
              </w:rPr>
              <w:t>分，未报送不得分。</w:t>
            </w:r>
          </w:p>
        </w:tc>
        <w:tc>
          <w:tcPr>
            <w:tcW w:w="3285" w:type="dxa"/>
            <w:tcBorders>
              <w:top w:val="single" w:color="auto" w:sz="4" w:space="0"/>
            </w:tcBorders>
            <w:vAlign w:val="center"/>
          </w:tcPr>
          <w:p>
            <w:pPr>
              <w:spacing w:line="320" w:lineRule="exact"/>
              <w:ind w:right="-124" w:rightChars="-59"/>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①党建信息报送材料</w:t>
            </w:r>
            <w:r>
              <w:rPr>
                <w:rFonts w:hint="eastAsia" w:ascii="楷体_GB2312" w:hAnsi="宋体" w:eastAsia="楷体_GB2312" w:cs="楷体_GB2312"/>
                <w:color w:val="000000" w:themeColor="text1"/>
                <w:szCs w:val="21"/>
                <w:lang w:eastAsia="zh-CN"/>
              </w:rPr>
              <w:t>；</w:t>
            </w:r>
          </w:p>
          <w:p>
            <w:pPr>
              <w:spacing w:line="320" w:lineRule="exact"/>
              <w:ind w:right="-124" w:rightChars="-59"/>
              <w:textAlignment w:val="center"/>
              <w:rPr>
                <w:rFonts w:hint="eastAsia" w:ascii="楷体_GB2312" w:hAnsi="宋体" w:eastAsia="楷体_GB2312" w:cs="楷体_GB2312"/>
                <w:color w:val="000000" w:themeColor="text1"/>
                <w:szCs w:val="21"/>
                <w:lang w:eastAsia="zh-CN"/>
              </w:rPr>
            </w:pPr>
            <w:r>
              <w:rPr>
                <w:rFonts w:hint="eastAsia" w:ascii="楷体_GB2312" w:hAnsi="宋体" w:eastAsia="楷体_GB2312" w:cs="楷体_GB2312"/>
                <w:color w:val="000000" w:themeColor="text1"/>
                <w:szCs w:val="21"/>
              </w:rPr>
              <w:t>②疫情防控先进典型报送材料</w:t>
            </w:r>
            <w:r>
              <w:rPr>
                <w:rFonts w:hint="eastAsia" w:ascii="楷体_GB2312" w:hAnsi="宋体" w:eastAsia="楷体_GB2312" w:cs="楷体_GB2312"/>
                <w:color w:val="000000" w:themeColor="text1"/>
                <w:szCs w:val="21"/>
                <w:lang w:eastAsia="zh-CN"/>
              </w:rPr>
              <w:t>。</w:t>
            </w:r>
          </w:p>
        </w:tc>
        <w:tc>
          <w:tcPr>
            <w:tcW w:w="1170" w:type="dxa"/>
            <w:vMerge w:val="continue"/>
            <w:vAlign w:val="center"/>
          </w:tcPr>
          <w:p>
            <w:pPr>
              <w:spacing w:line="280" w:lineRule="exact"/>
              <w:jc w:val="center"/>
              <w:textAlignment w:val="center"/>
              <w:rPr>
                <w:rFonts w:ascii="楷体_GB2312" w:hAnsi="宋体" w:eastAsia="楷体_GB2312" w:cs="楷体_GB2312"/>
                <w:color w:val="000000" w:themeColor="text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8" w:hRule="atLeast"/>
        </w:trPr>
        <w:tc>
          <w:tcPr>
            <w:tcW w:w="730" w:type="dxa"/>
            <w:vMerge w:val="continue"/>
            <w:vAlign w:val="center"/>
          </w:tcPr>
          <w:p>
            <w:pPr>
              <w:jc w:val="center"/>
              <w:rPr>
                <w:rFonts w:ascii="楷体_GB2312" w:hAnsi="宋体" w:eastAsia="楷体_GB2312" w:cs="楷体_GB2312"/>
                <w:color w:val="000000" w:themeColor="text1"/>
                <w:szCs w:val="21"/>
              </w:rPr>
            </w:pPr>
          </w:p>
        </w:tc>
        <w:tc>
          <w:tcPr>
            <w:tcW w:w="705" w:type="dxa"/>
            <w:tcBorders>
              <w:top w:val="single" w:color="auto" w:sz="4" w:space="0"/>
            </w:tcBorders>
            <w:vAlign w:val="center"/>
          </w:tcPr>
          <w:p>
            <w:pPr>
              <w:widowControl/>
              <w:spacing w:line="320" w:lineRule="exact"/>
              <w:jc w:val="center"/>
              <w:rPr>
                <w:rFonts w:ascii="楷体_GB2312" w:eastAsia="楷体_GB2312" w:cs="宋体"/>
                <w:color w:val="000000" w:themeColor="text1"/>
                <w:kern w:val="0"/>
                <w:szCs w:val="21"/>
              </w:rPr>
            </w:pPr>
            <w:r>
              <w:rPr>
                <w:rFonts w:hint="eastAsia" w:ascii="楷体_GB2312" w:eastAsia="楷体_GB2312" w:cs="宋体"/>
                <w:color w:val="000000" w:themeColor="text1"/>
                <w:kern w:val="0"/>
                <w:szCs w:val="21"/>
              </w:rPr>
              <w:t>严肃党内政治生活</w:t>
            </w:r>
          </w:p>
        </w:tc>
        <w:tc>
          <w:tcPr>
            <w:tcW w:w="825" w:type="dxa"/>
            <w:vAlign w:val="center"/>
          </w:tcPr>
          <w:p>
            <w:pPr>
              <w:widowControl/>
              <w:spacing w:line="320" w:lineRule="exact"/>
              <w:jc w:val="center"/>
              <w:textAlignment w:val="center"/>
              <w:rPr>
                <w:rFonts w:ascii="楷体_GB2312" w:eastAsia="楷体_GB2312" w:cs="宋体"/>
                <w:color w:val="000000" w:themeColor="text1"/>
                <w:kern w:val="0"/>
                <w:szCs w:val="21"/>
              </w:rPr>
            </w:pPr>
            <w:r>
              <w:rPr>
                <w:rFonts w:hint="eastAsia" w:ascii="楷体_GB2312" w:eastAsia="楷体_GB2312" w:cs="宋体"/>
                <w:color w:val="000000" w:themeColor="text1"/>
                <w:kern w:val="0"/>
                <w:szCs w:val="21"/>
              </w:rPr>
              <w:t>4</w:t>
            </w:r>
          </w:p>
        </w:tc>
        <w:tc>
          <w:tcPr>
            <w:tcW w:w="4035" w:type="dxa"/>
            <w:tcBorders>
              <w:bottom w:val="single" w:color="auto" w:sz="4" w:space="0"/>
            </w:tcBorders>
            <w:vAlign w:val="center"/>
          </w:tcPr>
          <w:p>
            <w:pPr>
              <w:spacing w:line="320" w:lineRule="exact"/>
              <w:jc w:val="left"/>
              <w:textAlignment w:val="center"/>
              <w:rPr>
                <w:rFonts w:ascii="楷体_GB2312" w:eastAsia="楷体_GB2312"/>
                <w:color w:val="000000" w:themeColor="text1"/>
                <w:szCs w:val="21"/>
              </w:rPr>
            </w:pPr>
            <w:r>
              <w:rPr>
                <w:rFonts w:hint="eastAsia" w:ascii="楷体_GB2312" w:eastAsia="楷体_GB2312" w:cs="宋体"/>
                <w:color w:val="000000" w:themeColor="text1"/>
                <w:kern w:val="0"/>
                <w:szCs w:val="21"/>
              </w:rPr>
              <w:t>认真开展2020年度民主生活会、专题民主生活会（4分）。</w:t>
            </w:r>
          </w:p>
        </w:tc>
        <w:tc>
          <w:tcPr>
            <w:tcW w:w="3954" w:type="dxa"/>
            <w:vAlign w:val="center"/>
          </w:tcPr>
          <w:p>
            <w:pPr>
              <w:spacing w:line="320" w:lineRule="exact"/>
              <w:textAlignment w:val="center"/>
              <w:rPr>
                <w:rFonts w:ascii="楷体_GB2312" w:hAnsi="宋体" w:eastAsia="楷体_GB2312" w:cs="楷体_GB2312"/>
                <w:color w:val="000000" w:themeColor="text1"/>
                <w:szCs w:val="21"/>
              </w:rPr>
            </w:pPr>
            <w:r>
              <w:rPr>
                <w:rFonts w:hint="eastAsia" w:ascii="楷体_GB2312" w:hAnsi="宋体" w:eastAsia="楷体_GB2312" w:cs="楷体_GB2312"/>
                <w:color w:val="000000" w:themeColor="text1"/>
                <w:kern w:val="0"/>
                <w:szCs w:val="21"/>
              </w:rPr>
              <w:t>未按照规定流程要求开展的每项扣0.2分；每项流程开展质量不高的扣0.1分。</w:t>
            </w:r>
          </w:p>
        </w:tc>
        <w:tc>
          <w:tcPr>
            <w:tcW w:w="3285" w:type="dxa"/>
            <w:tcBorders>
              <w:top w:val="single" w:color="auto" w:sz="4" w:space="0"/>
              <w:bottom w:val="single" w:color="auto" w:sz="4" w:space="0"/>
            </w:tcBorders>
            <w:vAlign w:val="center"/>
          </w:tcPr>
          <w:p>
            <w:pPr>
              <w:spacing w:line="320" w:lineRule="exact"/>
              <w:textAlignment w:val="center"/>
              <w:rPr>
                <w:rFonts w:ascii="楷体_GB2312" w:eastAsia="楷体_GB2312"/>
                <w:color w:val="000000" w:themeColor="text1"/>
                <w:szCs w:val="21"/>
              </w:rPr>
            </w:pPr>
            <w:r>
              <w:rPr>
                <w:rFonts w:hint="eastAsia" w:ascii="楷体_GB2312" w:eastAsia="楷体_GB2312"/>
                <w:color w:val="000000" w:themeColor="text1"/>
                <w:szCs w:val="21"/>
              </w:rPr>
              <w:t>按照督导组要求需要提供的全套材料。</w:t>
            </w:r>
          </w:p>
        </w:tc>
        <w:tc>
          <w:tcPr>
            <w:tcW w:w="1170" w:type="dxa"/>
            <w:vMerge w:val="continue"/>
            <w:vAlign w:val="center"/>
          </w:tcPr>
          <w:p>
            <w:pPr>
              <w:jc w:val="center"/>
              <w:rPr>
                <w:rFonts w:ascii="楷体_GB2312" w:hAnsi="宋体" w:eastAsia="楷体_GB2312" w:cs="楷体_GB2312"/>
                <w:b/>
                <w:color w:val="000000" w:themeColor="text1"/>
                <w:szCs w:val="21"/>
              </w:rPr>
            </w:pP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6527D"/>
    <w:rsid w:val="00012A43"/>
    <w:rsid w:val="00017DC6"/>
    <w:rsid w:val="00024C25"/>
    <w:rsid w:val="00061B58"/>
    <w:rsid w:val="00080E23"/>
    <w:rsid w:val="000849B2"/>
    <w:rsid w:val="000C3BF2"/>
    <w:rsid w:val="000C4876"/>
    <w:rsid w:val="0012339E"/>
    <w:rsid w:val="00150B69"/>
    <w:rsid w:val="0015611E"/>
    <w:rsid w:val="0017660C"/>
    <w:rsid w:val="00183037"/>
    <w:rsid w:val="001873C0"/>
    <w:rsid w:val="001E47D9"/>
    <w:rsid w:val="001F0D4E"/>
    <w:rsid w:val="001F4B03"/>
    <w:rsid w:val="00232F46"/>
    <w:rsid w:val="00264926"/>
    <w:rsid w:val="002764D4"/>
    <w:rsid w:val="00284E4E"/>
    <w:rsid w:val="00286DE6"/>
    <w:rsid w:val="002B67E3"/>
    <w:rsid w:val="002E287D"/>
    <w:rsid w:val="00357BA5"/>
    <w:rsid w:val="00374795"/>
    <w:rsid w:val="00382C75"/>
    <w:rsid w:val="003D054E"/>
    <w:rsid w:val="003D096F"/>
    <w:rsid w:val="003D633C"/>
    <w:rsid w:val="003F567A"/>
    <w:rsid w:val="00406CC4"/>
    <w:rsid w:val="00413DA7"/>
    <w:rsid w:val="00432BCF"/>
    <w:rsid w:val="004410E1"/>
    <w:rsid w:val="004538C7"/>
    <w:rsid w:val="004C2E74"/>
    <w:rsid w:val="005031B2"/>
    <w:rsid w:val="0050607A"/>
    <w:rsid w:val="00540C56"/>
    <w:rsid w:val="0056527D"/>
    <w:rsid w:val="005811D9"/>
    <w:rsid w:val="00591DD9"/>
    <w:rsid w:val="005D6300"/>
    <w:rsid w:val="005E50A1"/>
    <w:rsid w:val="006044E0"/>
    <w:rsid w:val="0061355D"/>
    <w:rsid w:val="00613C5C"/>
    <w:rsid w:val="00640D9B"/>
    <w:rsid w:val="00641388"/>
    <w:rsid w:val="0069129B"/>
    <w:rsid w:val="006B71E2"/>
    <w:rsid w:val="006C13F0"/>
    <w:rsid w:val="007136F0"/>
    <w:rsid w:val="00726A3F"/>
    <w:rsid w:val="00756147"/>
    <w:rsid w:val="00760E0D"/>
    <w:rsid w:val="007612FC"/>
    <w:rsid w:val="007746FC"/>
    <w:rsid w:val="007A6D6B"/>
    <w:rsid w:val="007D101C"/>
    <w:rsid w:val="00824F0B"/>
    <w:rsid w:val="00827FEC"/>
    <w:rsid w:val="0089345B"/>
    <w:rsid w:val="008A2ED5"/>
    <w:rsid w:val="008B16B4"/>
    <w:rsid w:val="008D2FD8"/>
    <w:rsid w:val="008E1EA2"/>
    <w:rsid w:val="008E56F9"/>
    <w:rsid w:val="008F1D1E"/>
    <w:rsid w:val="009119AD"/>
    <w:rsid w:val="00994F6C"/>
    <w:rsid w:val="00996B50"/>
    <w:rsid w:val="009A63D2"/>
    <w:rsid w:val="009B7E18"/>
    <w:rsid w:val="009C756A"/>
    <w:rsid w:val="009E09C9"/>
    <w:rsid w:val="009E20BC"/>
    <w:rsid w:val="00A62328"/>
    <w:rsid w:val="00A818D2"/>
    <w:rsid w:val="00A97E8E"/>
    <w:rsid w:val="00AF4E25"/>
    <w:rsid w:val="00B03226"/>
    <w:rsid w:val="00B058C1"/>
    <w:rsid w:val="00B2171A"/>
    <w:rsid w:val="00B400AE"/>
    <w:rsid w:val="00B42ECD"/>
    <w:rsid w:val="00B64179"/>
    <w:rsid w:val="00BA15D8"/>
    <w:rsid w:val="00BC6950"/>
    <w:rsid w:val="00BE110D"/>
    <w:rsid w:val="00C13AF0"/>
    <w:rsid w:val="00C37D30"/>
    <w:rsid w:val="00C6699A"/>
    <w:rsid w:val="00C73BBF"/>
    <w:rsid w:val="00C80273"/>
    <w:rsid w:val="00C906C0"/>
    <w:rsid w:val="00C91164"/>
    <w:rsid w:val="00CA453A"/>
    <w:rsid w:val="00CB310D"/>
    <w:rsid w:val="00CC7A85"/>
    <w:rsid w:val="00CE2D9F"/>
    <w:rsid w:val="00CF7EE3"/>
    <w:rsid w:val="00D1066C"/>
    <w:rsid w:val="00D23E3E"/>
    <w:rsid w:val="00D320EE"/>
    <w:rsid w:val="00D5051E"/>
    <w:rsid w:val="00D51141"/>
    <w:rsid w:val="00DD6021"/>
    <w:rsid w:val="00DD759F"/>
    <w:rsid w:val="00E4573A"/>
    <w:rsid w:val="00E62A7A"/>
    <w:rsid w:val="00EA7AD4"/>
    <w:rsid w:val="00EB5D4F"/>
    <w:rsid w:val="00EC4C9B"/>
    <w:rsid w:val="00ED46D3"/>
    <w:rsid w:val="00F51F41"/>
    <w:rsid w:val="00F75A4C"/>
    <w:rsid w:val="00F939BF"/>
    <w:rsid w:val="00FC5F6C"/>
    <w:rsid w:val="01BC080E"/>
    <w:rsid w:val="01C14080"/>
    <w:rsid w:val="01EC1158"/>
    <w:rsid w:val="02935769"/>
    <w:rsid w:val="034713A5"/>
    <w:rsid w:val="03EE4F79"/>
    <w:rsid w:val="04916E69"/>
    <w:rsid w:val="049641EB"/>
    <w:rsid w:val="05E00EFF"/>
    <w:rsid w:val="069C0856"/>
    <w:rsid w:val="06A5476E"/>
    <w:rsid w:val="07ED5F31"/>
    <w:rsid w:val="08182B66"/>
    <w:rsid w:val="086374D8"/>
    <w:rsid w:val="08A82F37"/>
    <w:rsid w:val="09021CD5"/>
    <w:rsid w:val="098D30D1"/>
    <w:rsid w:val="0A920A0F"/>
    <w:rsid w:val="0AC90EE9"/>
    <w:rsid w:val="0AF2126E"/>
    <w:rsid w:val="0B1905AE"/>
    <w:rsid w:val="0B20331F"/>
    <w:rsid w:val="0B6F58D0"/>
    <w:rsid w:val="0B8212EB"/>
    <w:rsid w:val="0B997A43"/>
    <w:rsid w:val="0BA1479E"/>
    <w:rsid w:val="0C202A8B"/>
    <w:rsid w:val="0D666179"/>
    <w:rsid w:val="0E5C6201"/>
    <w:rsid w:val="0EBD7BE3"/>
    <w:rsid w:val="10733A5F"/>
    <w:rsid w:val="10E6796B"/>
    <w:rsid w:val="11377721"/>
    <w:rsid w:val="11817299"/>
    <w:rsid w:val="118B4920"/>
    <w:rsid w:val="11EA76AF"/>
    <w:rsid w:val="12DB430C"/>
    <w:rsid w:val="14616B34"/>
    <w:rsid w:val="14B74371"/>
    <w:rsid w:val="15816F0C"/>
    <w:rsid w:val="15B85683"/>
    <w:rsid w:val="164A6670"/>
    <w:rsid w:val="167C2E2D"/>
    <w:rsid w:val="1798700A"/>
    <w:rsid w:val="1815793D"/>
    <w:rsid w:val="187A09D0"/>
    <w:rsid w:val="18F0022C"/>
    <w:rsid w:val="193275E7"/>
    <w:rsid w:val="1A8F0752"/>
    <w:rsid w:val="1B1E6F0E"/>
    <w:rsid w:val="1B7A33F1"/>
    <w:rsid w:val="1B8626DC"/>
    <w:rsid w:val="1C160100"/>
    <w:rsid w:val="1CB32A82"/>
    <w:rsid w:val="1EB27004"/>
    <w:rsid w:val="20260FAE"/>
    <w:rsid w:val="20510B13"/>
    <w:rsid w:val="205C4FDF"/>
    <w:rsid w:val="20A822BD"/>
    <w:rsid w:val="215D6933"/>
    <w:rsid w:val="21E849F8"/>
    <w:rsid w:val="21FE080A"/>
    <w:rsid w:val="22987796"/>
    <w:rsid w:val="23EE4D76"/>
    <w:rsid w:val="240853BD"/>
    <w:rsid w:val="24443892"/>
    <w:rsid w:val="24451D85"/>
    <w:rsid w:val="24BA53B4"/>
    <w:rsid w:val="25446D4F"/>
    <w:rsid w:val="2548544D"/>
    <w:rsid w:val="25894901"/>
    <w:rsid w:val="25E44B8B"/>
    <w:rsid w:val="264455B5"/>
    <w:rsid w:val="26500B8F"/>
    <w:rsid w:val="26900915"/>
    <w:rsid w:val="26DB16C3"/>
    <w:rsid w:val="26EB61F7"/>
    <w:rsid w:val="27EE0991"/>
    <w:rsid w:val="291639C9"/>
    <w:rsid w:val="29690569"/>
    <w:rsid w:val="298707BF"/>
    <w:rsid w:val="29A0008F"/>
    <w:rsid w:val="2A91766F"/>
    <w:rsid w:val="2A973941"/>
    <w:rsid w:val="2AE0530A"/>
    <w:rsid w:val="2D3B6F10"/>
    <w:rsid w:val="2D6C27C7"/>
    <w:rsid w:val="2D780D9C"/>
    <w:rsid w:val="2D903CE6"/>
    <w:rsid w:val="2EEF66AD"/>
    <w:rsid w:val="2F2E2B19"/>
    <w:rsid w:val="2FBC052B"/>
    <w:rsid w:val="2FBE62EC"/>
    <w:rsid w:val="2FCE6196"/>
    <w:rsid w:val="303E64C0"/>
    <w:rsid w:val="306A59D5"/>
    <w:rsid w:val="31BE0259"/>
    <w:rsid w:val="32934829"/>
    <w:rsid w:val="33A37B23"/>
    <w:rsid w:val="36A855AD"/>
    <w:rsid w:val="36AF018A"/>
    <w:rsid w:val="36D02353"/>
    <w:rsid w:val="36E91D44"/>
    <w:rsid w:val="370F526F"/>
    <w:rsid w:val="3724779D"/>
    <w:rsid w:val="380011A2"/>
    <w:rsid w:val="38E049EE"/>
    <w:rsid w:val="399D2F9A"/>
    <w:rsid w:val="3A1245FA"/>
    <w:rsid w:val="3A7E6D40"/>
    <w:rsid w:val="3AFA74CB"/>
    <w:rsid w:val="3B6B088B"/>
    <w:rsid w:val="3BB943DE"/>
    <w:rsid w:val="3BCE7B1F"/>
    <w:rsid w:val="3D1A1BA0"/>
    <w:rsid w:val="3D9F1B74"/>
    <w:rsid w:val="40675CD8"/>
    <w:rsid w:val="40B7647F"/>
    <w:rsid w:val="410A5ED9"/>
    <w:rsid w:val="41357ABB"/>
    <w:rsid w:val="41B741A9"/>
    <w:rsid w:val="41F776F7"/>
    <w:rsid w:val="422C3F0F"/>
    <w:rsid w:val="43751E94"/>
    <w:rsid w:val="43856798"/>
    <w:rsid w:val="43886B41"/>
    <w:rsid w:val="43CF781A"/>
    <w:rsid w:val="4410228E"/>
    <w:rsid w:val="44C9381B"/>
    <w:rsid w:val="44E662EF"/>
    <w:rsid w:val="45F14E0D"/>
    <w:rsid w:val="461B04F4"/>
    <w:rsid w:val="46663E21"/>
    <w:rsid w:val="468A3793"/>
    <w:rsid w:val="49422FBD"/>
    <w:rsid w:val="4979517F"/>
    <w:rsid w:val="498C0DAE"/>
    <w:rsid w:val="4ADD3EBD"/>
    <w:rsid w:val="4B7545F6"/>
    <w:rsid w:val="4B993D6D"/>
    <w:rsid w:val="4CBA258C"/>
    <w:rsid w:val="4D4579CF"/>
    <w:rsid w:val="4D4E54AD"/>
    <w:rsid w:val="4D933B91"/>
    <w:rsid w:val="4DB30380"/>
    <w:rsid w:val="4DF777BE"/>
    <w:rsid w:val="4E335D73"/>
    <w:rsid w:val="4EFE3B52"/>
    <w:rsid w:val="4F0379DE"/>
    <w:rsid w:val="4F840E07"/>
    <w:rsid w:val="4FE92081"/>
    <w:rsid w:val="50543C39"/>
    <w:rsid w:val="51BB0601"/>
    <w:rsid w:val="52362B15"/>
    <w:rsid w:val="525E0340"/>
    <w:rsid w:val="52E7738A"/>
    <w:rsid w:val="53794358"/>
    <w:rsid w:val="538B53F9"/>
    <w:rsid w:val="546D05E2"/>
    <w:rsid w:val="552D7D86"/>
    <w:rsid w:val="55482DDD"/>
    <w:rsid w:val="55B131BB"/>
    <w:rsid w:val="55F5241C"/>
    <w:rsid w:val="560021CE"/>
    <w:rsid w:val="56E70F0C"/>
    <w:rsid w:val="57D50905"/>
    <w:rsid w:val="59790DF5"/>
    <w:rsid w:val="59C50252"/>
    <w:rsid w:val="5A70291B"/>
    <w:rsid w:val="5AD17744"/>
    <w:rsid w:val="5AD23EA2"/>
    <w:rsid w:val="5B953C5D"/>
    <w:rsid w:val="5BDF6DB0"/>
    <w:rsid w:val="5C9D76E3"/>
    <w:rsid w:val="5CFB6CCB"/>
    <w:rsid w:val="5D0F2C22"/>
    <w:rsid w:val="5D0F5734"/>
    <w:rsid w:val="5D9E3CAB"/>
    <w:rsid w:val="5DE01D43"/>
    <w:rsid w:val="5EF91CBE"/>
    <w:rsid w:val="5EFE07A8"/>
    <w:rsid w:val="5F4945D0"/>
    <w:rsid w:val="5F616499"/>
    <w:rsid w:val="608A3821"/>
    <w:rsid w:val="609F53C4"/>
    <w:rsid w:val="61933F61"/>
    <w:rsid w:val="628F3F50"/>
    <w:rsid w:val="63AC1994"/>
    <w:rsid w:val="63FA1BB5"/>
    <w:rsid w:val="64057509"/>
    <w:rsid w:val="641E1382"/>
    <w:rsid w:val="64690DA6"/>
    <w:rsid w:val="646D01E7"/>
    <w:rsid w:val="64CF0B3E"/>
    <w:rsid w:val="65DE4B07"/>
    <w:rsid w:val="65FB18C4"/>
    <w:rsid w:val="66AC0A25"/>
    <w:rsid w:val="66CF6693"/>
    <w:rsid w:val="673C5F93"/>
    <w:rsid w:val="67F407CD"/>
    <w:rsid w:val="67FD4740"/>
    <w:rsid w:val="684E5197"/>
    <w:rsid w:val="6857053B"/>
    <w:rsid w:val="696E04D7"/>
    <w:rsid w:val="69B85E4C"/>
    <w:rsid w:val="69DC07EC"/>
    <w:rsid w:val="6A9B13ED"/>
    <w:rsid w:val="6BA9076E"/>
    <w:rsid w:val="6C3461BD"/>
    <w:rsid w:val="6C871053"/>
    <w:rsid w:val="6C940D8B"/>
    <w:rsid w:val="6D0B3712"/>
    <w:rsid w:val="6D207747"/>
    <w:rsid w:val="6D430EAE"/>
    <w:rsid w:val="6D8B703C"/>
    <w:rsid w:val="6FB219D1"/>
    <w:rsid w:val="70612456"/>
    <w:rsid w:val="707D1D23"/>
    <w:rsid w:val="71A65A37"/>
    <w:rsid w:val="71CC78AC"/>
    <w:rsid w:val="722B197D"/>
    <w:rsid w:val="72DF4EC8"/>
    <w:rsid w:val="72EA514E"/>
    <w:rsid w:val="760F5A3C"/>
    <w:rsid w:val="76A46CAF"/>
    <w:rsid w:val="76CA78FA"/>
    <w:rsid w:val="791B7F8B"/>
    <w:rsid w:val="7A6D14BB"/>
    <w:rsid w:val="7A897A4A"/>
    <w:rsid w:val="7A94731C"/>
    <w:rsid w:val="7AAB2D6B"/>
    <w:rsid w:val="7B4755A9"/>
    <w:rsid w:val="7B6142D8"/>
    <w:rsid w:val="7B7F707F"/>
    <w:rsid w:val="7BCD1788"/>
    <w:rsid w:val="7BD65507"/>
    <w:rsid w:val="7F2B2972"/>
    <w:rsid w:val="7FF8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EBF7D-F5FA-47D9-BBDA-E7D3F2CF21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875</Words>
  <Characters>4992</Characters>
  <Lines>41</Lines>
  <Paragraphs>11</Paragraphs>
  <TotalTime>28</TotalTime>
  <ScaleCrop>false</ScaleCrop>
  <LinksUpToDate>false</LinksUpToDate>
  <CharactersWithSpaces>5856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2019-12-30T09:23:00Z</dcterms:created>
  <dc:creator>张茜</dc:creator>
  <cp:lastModifiedBy>于淼</cp:lastModifiedBy>
  <cp:lastPrinted>2021-03-03T02:14:00Z</cp:lastPrinted>
  <dcterms:modified xsi:type="dcterms:W3CDTF">2021-03-05T10:08:39Z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